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65D86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Arial" w:hAnsi="Arial" w:eastAsia="宋体"/>
          <w:b/>
          <w:sz w:val="72"/>
          <w:szCs w:val="22"/>
          <w:highlight w:val="none"/>
          <w:lang w:val="en-US" w:eastAsia="zh-CN"/>
        </w:rPr>
      </w:pPr>
      <w:bookmarkStart w:id="0" w:name="_Toc387224521"/>
      <w:bookmarkStart w:id="1" w:name="_Toc366847943"/>
      <w:bookmarkStart w:id="2" w:name="_Toc460434311"/>
      <w:r>
        <w:rPr>
          <w:rFonts w:hint="eastAsia" w:ascii="Arial" w:hAnsi="Arial" w:eastAsia="宋体"/>
          <w:b/>
          <w:sz w:val="72"/>
          <w:szCs w:val="22"/>
          <w:highlight w:val="none"/>
          <w:lang w:val="en-US" w:eastAsia="zh-CN"/>
        </w:rPr>
        <w:t>安徽医科大学第一附属医院</w:t>
      </w:r>
      <w:r>
        <w:rPr>
          <w:rFonts w:hint="eastAsia" w:ascii="Arial" w:hAnsi="Arial"/>
          <w:b/>
          <w:sz w:val="72"/>
          <w:szCs w:val="22"/>
          <w:highlight w:val="none"/>
          <w:lang w:val="en-US" w:eastAsia="zh-CN"/>
        </w:rPr>
        <w:t>安徽省地方标准技术</w:t>
      </w:r>
      <w:r>
        <w:rPr>
          <w:rFonts w:hint="eastAsia" w:ascii="Arial" w:hAnsi="Arial" w:eastAsia="宋体"/>
          <w:b/>
          <w:sz w:val="72"/>
          <w:szCs w:val="22"/>
          <w:highlight w:val="none"/>
          <w:lang w:val="en-US" w:eastAsia="zh-CN"/>
        </w:rPr>
        <w:t>服务采购项目</w:t>
      </w:r>
    </w:p>
    <w:p w14:paraId="6D537FDC">
      <w:pPr>
        <w:spacing w:line="360" w:lineRule="auto"/>
        <w:jc w:val="both"/>
        <w:rPr>
          <w:rFonts w:hint="eastAsia" w:ascii="宋体" w:hAnsi="宋体"/>
          <w:b/>
          <w:sz w:val="96"/>
          <w:szCs w:val="96"/>
          <w:highlight w:val="none"/>
        </w:rPr>
      </w:pPr>
    </w:p>
    <w:p w14:paraId="3756B85B">
      <w:pPr>
        <w:spacing w:line="360" w:lineRule="auto"/>
        <w:jc w:val="center"/>
        <w:rPr>
          <w:rFonts w:ascii="宋体" w:hAnsi="宋体"/>
          <w:b/>
          <w:sz w:val="96"/>
          <w:szCs w:val="96"/>
          <w:highlight w:val="none"/>
        </w:rPr>
      </w:pPr>
      <w:r>
        <w:rPr>
          <w:rFonts w:hint="eastAsia" w:ascii="宋体" w:hAnsi="宋体"/>
          <w:b/>
          <w:sz w:val="96"/>
          <w:szCs w:val="96"/>
          <w:highlight w:val="none"/>
        </w:rPr>
        <w:t>招 标 文 件</w:t>
      </w:r>
    </w:p>
    <w:p w14:paraId="7864048A">
      <w:pPr>
        <w:spacing w:line="360" w:lineRule="auto"/>
        <w:jc w:val="center"/>
        <w:rPr>
          <w:b/>
          <w:sz w:val="32"/>
          <w:szCs w:val="32"/>
          <w:highlight w:val="none"/>
        </w:rPr>
      </w:pPr>
    </w:p>
    <w:p w14:paraId="0E352C94">
      <w:pPr>
        <w:spacing w:line="360" w:lineRule="auto"/>
        <w:jc w:val="center"/>
        <w:rPr>
          <w:rFonts w:ascii="宋体" w:hAnsi="宋体"/>
          <w:b/>
          <w:sz w:val="32"/>
          <w:szCs w:val="32"/>
          <w:highlight w:val="none"/>
        </w:rPr>
      </w:pPr>
    </w:p>
    <w:p w14:paraId="4442AE31">
      <w:pPr>
        <w:spacing w:line="360" w:lineRule="auto"/>
        <w:jc w:val="center"/>
        <w:rPr>
          <w:rFonts w:ascii="宋体" w:hAnsi="宋体"/>
          <w:b/>
          <w:sz w:val="32"/>
          <w:szCs w:val="32"/>
          <w:highlight w:val="none"/>
        </w:rPr>
      </w:pPr>
    </w:p>
    <w:p w14:paraId="6D9AA38A">
      <w:pPr>
        <w:spacing w:line="360" w:lineRule="auto"/>
        <w:jc w:val="center"/>
        <w:rPr>
          <w:rFonts w:ascii="宋体" w:hAnsi="宋体"/>
          <w:b/>
          <w:sz w:val="32"/>
          <w:szCs w:val="32"/>
          <w:highlight w:val="none"/>
        </w:rPr>
      </w:pPr>
    </w:p>
    <w:p w14:paraId="45B23479">
      <w:pPr>
        <w:spacing w:line="360" w:lineRule="auto"/>
        <w:rPr>
          <w:b/>
          <w:bCs/>
          <w:sz w:val="30"/>
          <w:highlight w:val="none"/>
        </w:rPr>
      </w:pPr>
    </w:p>
    <w:p w14:paraId="1E9BFE0E">
      <w:pPr>
        <w:spacing w:line="360" w:lineRule="auto"/>
        <w:jc w:val="center"/>
        <w:rPr>
          <w:rFonts w:hint="eastAsia"/>
          <w:b/>
          <w:bCs/>
          <w:sz w:val="30"/>
          <w:highlight w:val="none"/>
        </w:rPr>
      </w:pPr>
      <w:r>
        <w:rPr>
          <w:b/>
          <w:bCs/>
          <w:sz w:val="30"/>
          <w:highlight w:val="none"/>
        </w:rPr>
        <w:t>20</w:t>
      </w:r>
      <w:r>
        <w:rPr>
          <w:rFonts w:hint="eastAsia"/>
          <w:b/>
          <w:bCs/>
          <w:sz w:val="30"/>
          <w:highlight w:val="none"/>
          <w:lang w:val="en-US" w:eastAsia="zh-CN"/>
        </w:rPr>
        <w:t>24</w:t>
      </w:r>
      <w:r>
        <w:rPr>
          <w:b/>
          <w:bCs/>
          <w:sz w:val="30"/>
          <w:highlight w:val="none"/>
        </w:rPr>
        <w:t>年</w:t>
      </w:r>
      <w:r>
        <w:rPr>
          <w:rFonts w:hint="eastAsia"/>
          <w:b/>
          <w:bCs/>
          <w:sz w:val="30"/>
          <w:highlight w:val="none"/>
          <w:lang w:val="en-US" w:eastAsia="zh-CN"/>
        </w:rPr>
        <w:t>8</w:t>
      </w:r>
      <w:r>
        <w:rPr>
          <w:rFonts w:hint="eastAsia"/>
          <w:b/>
          <w:bCs/>
          <w:sz w:val="30"/>
          <w:highlight w:val="none"/>
        </w:rPr>
        <w:t>月</w:t>
      </w:r>
    </w:p>
    <w:p w14:paraId="62D34CF0">
      <w:pPr>
        <w:pStyle w:val="2"/>
        <w:rPr>
          <w:rFonts w:hint="eastAsia"/>
          <w:lang w:val="en-US" w:eastAsia="zh-CN"/>
        </w:rPr>
      </w:pPr>
    </w:p>
    <w:p w14:paraId="4D38A6FA">
      <w:pPr>
        <w:pStyle w:val="14"/>
        <w:numPr>
          <w:ilvl w:val="0"/>
          <w:numId w:val="0"/>
        </w:numPr>
        <w:rPr>
          <w:rFonts w:hint="eastAsia" w:ascii="宋体" w:hAnsi="宋体" w:eastAsia="宋体"/>
          <w:sz w:val="24"/>
          <w:szCs w:val="24"/>
          <w:highlight w:val="none"/>
          <w:lang w:val="en-US" w:eastAsia="zh-CN"/>
        </w:rPr>
      </w:pPr>
    </w:p>
    <w:p w14:paraId="1D436D4A">
      <w:pPr>
        <w:pStyle w:val="14"/>
        <w:numPr>
          <w:ilvl w:val="0"/>
          <w:numId w:val="0"/>
        </w:numPr>
        <w:rPr>
          <w:rFonts w:ascii="宋体" w:hAnsi="宋体" w:eastAsia="宋体"/>
          <w:sz w:val="24"/>
          <w:szCs w:val="24"/>
          <w:highlight w:val="none"/>
        </w:rPr>
      </w:pPr>
      <w:r>
        <w:rPr>
          <w:rFonts w:hint="eastAsia" w:ascii="宋体" w:hAnsi="宋体" w:eastAsia="宋体"/>
          <w:sz w:val="24"/>
          <w:szCs w:val="24"/>
          <w:highlight w:val="none"/>
          <w:lang w:val="en-US" w:eastAsia="zh-CN"/>
        </w:rPr>
        <w:t>一、</w:t>
      </w:r>
      <w:r>
        <w:rPr>
          <w:rFonts w:hint="eastAsia" w:ascii="宋体" w:hAnsi="宋体" w:eastAsia="宋体"/>
          <w:sz w:val="24"/>
          <w:szCs w:val="24"/>
          <w:highlight w:val="none"/>
          <w:lang w:val="zh-CN"/>
        </w:rPr>
        <w:t>采购项目名称及内容</w:t>
      </w:r>
    </w:p>
    <w:p w14:paraId="76A2E2D4">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1、招标人：安徽医科大学第一附属医院；</w:t>
      </w:r>
    </w:p>
    <w:p w14:paraId="739B9938">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2、项目名称：</w:t>
      </w:r>
      <w:r>
        <w:rPr>
          <w:rFonts w:hint="eastAsia" w:ascii="宋体" w:hAnsi="宋体" w:eastAsia="宋体" w:cs="宋体"/>
          <w:bCs/>
          <w:color w:val="000000"/>
          <w:kern w:val="0"/>
          <w:sz w:val="24"/>
          <w:szCs w:val="24"/>
          <w:highlight w:val="none"/>
          <w:lang w:val="en-US" w:eastAsia="zh-CN"/>
        </w:rPr>
        <w:t>安徽医科大学第一附属医院安徽省地方标准技术服务采购项目</w:t>
      </w:r>
      <w:r>
        <w:rPr>
          <w:rFonts w:hint="eastAsia" w:ascii="宋体" w:hAnsi="宋体" w:cs="宋体"/>
          <w:bCs/>
          <w:color w:val="000000"/>
          <w:kern w:val="0"/>
          <w:sz w:val="24"/>
          <w:szCs w:val="24"/>
          <w:highlight w:val="none"/>
          <w:lang w:val="en-US" w:eastAsia="zh-CN"/>
        </w:rPr>
        <w:t>；</w:t>
      </w:r>
    </w:p>
    <w:p w14:paraId="251B4591">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3、标段划分：本项目共1个包；</w:t>
      </w:r>
    </w:p>
    <w:p w14:paraId="6FF1E777">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4、招标内容：详见招标文件；</w:t>
      </w:r>
    </w:p>
    <w:p w14:paraId="79CC0A3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rPr>
      </w:pPr>
      <w:r>
        <w:rPr>
          <w:rFonts w:hint="eastAsia" w:ascii="宋体" w:hAnsi="宋体" w:eastAsia="宋体" w:cs="宋体"/>
          <w:bCs/>
          <w:color w:val="000000"/>
          <w:kern w:val="0"/>
          <w:sz w:val="24"/>
          <w:szCs w:val="24"/>
          <w:highlight w:val="none"/>
        </w:rPr>
        <w:t>5、招标方式：公开招标；</w:t>
      </w:r>
    </w:p>
    <w:p w14:paraId="248557BF">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000000"/>
          <w:kern w:val="0"/>
          <w:sz w:val="24"/>
          <w:szCs w:val="24"/>
          <w:highlight w:val="none"/>
        </w:rPr>
      </w:pPr>
      <w:r>
        <w:rPr>
          <w:rFonts w:hint="eastAsia" w:ascii="宋体" w:hAnsi="宋体" w:eastAsia="宋体" w:cs="宋体"/>
          <w:bCs/>
          <w:color w:val="000000"/>
          <w:kern w:val="0"/>
          <w:sz w:val="24"/>
          <w:szCs w:val="24"/>
          <w:highlight w:val="none"/>
        </w:rPr>
        <w:t>6、控制价：</w:t>
      </w:r>
      <w:r>
        <w:rPr>
          <w:rFonts w:hint="eastAsia" w:ascii="宋体" w:hAnsi="宋体" w:cs="宋体"/>
          <w:bCs/>
          <w:color w:val="000000"/>
          <w:kern w:val="0"/>
          <w:sz w:val="24"/>
          <w:szCs w:val="24"/>
          <w:highlight w:val="none"/>
          <w:lang w:val="en-US" w:eastAsia="zh-CN"/>
        </w:rPr>
        <w:t>10</w:t>
      </w:r>
      <w:r>
        <w:rPr>
          <w:rFonts w:hint="eastAsia" w:ascii="宋体" w:hAnsi="宋体" w:eastAsia="宋体" w:cs="宋体"/>
          <w:bCs/>
          <w:color w:val="000000"/>
          <w:kern w:val="0"/>
          <w:sz w:val="24"/>
          <w:szCs w:val="24"/>
          <w:highlight w:val="none"/>
        </w:rPr>
        <w:t>万</w:t>
      </w:r>
      <w:r>
        <w:rPr>
          <w:rFonts w:hint="eastAsia" w:ascii="宋体" w:hAnsi="宋体" w:cs="宋体"/>
          <w:bCs/>
          <w:color w:val="000000"/>
          <w:kern w:val="0"/>
          <w:sz w:val="24"/>
          <w:szCs w:val="24"/>
          <w:highlight w:val="none"/>
          <w:lang w:val="en-US" w:eastAsia="zh-CN"/>
        </w:rPr>
        <w:t>元</w:t>
      </w:r>
      <w:r>
        <w:rPr>
          <w:rFonts w:hint="eastAsia" w:ascii="宋体" w:hAnsi="宋体" w:eastAsia="宋体" w:cs="宋体"/>
          <w:bCs/>
          <w:color w:val="000000"/>
          <w:kern w:val="0"/>
          <w:sz w:val="24"/>
          <w:szCs w:val="24"/>
          <w:highlight w:val="none"/>
        </w:rPr>
        <w:t>。</w:t>
      </w:r>
    </w:p>
    <w:p w14:paraId="4F6A35F6">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color w:val="FF0000"/>
          <w:highlight w:val="none"/>
          <w:lang w:val="en-US" w:eastAsia="zh-CN"/>
        </w:rPr>
      </w:pPr>
      <w:r>
        <w:rPr>
          <w:rFonts w:hint="eastAsia" w:ascii="宋体" w:hAnsi="宋体" w:cs="宋体"/>
          <w:b w:val="0"/>
          <w:bCs w:val="0"/>
          <w:highlight w:val="none"/>
          <w:lang w:val="en-US" w:eastAsia="zh-CN" w:bidi="ar-SA"/>
        </w:rPr>
        <w:t>7</w:t>
      </w:r>
      <w:r>
        <w:rPr>
          <w:rFonts w:hint="eastAsia" w:ascii="宋体" w:hAnsi="宋体" w:eastAsia="宋体" w:cs="宋体"/>
          <w:b w:val="0"/>
          <w:bCs w:val="0"/>
          <w:highlight w:val="none"/>
          <w:lang w:val="en-US" w:bidi="ar-SA"/>
        </w:rPr>
        <w:t>、</w:t>
      </w:r>
      <w:r>
        <w:rPr>
          <w:rFonts w:hint="eastAsia" w:ascii="宋体" w:hAnsi="宋体" w:eastAsia="宋体" w:cs="宋体"/>
          <w:b w:val="0"/>
          <w:bCs w:val="0"/>
          <w:color w:val="auto"/>
          <w:highlight w:val="none"/>
          <w:shd w:val="clear" w:color="auto" w:fill="FFFFFF"/>
        </w:rPr>
        <w:t>合同履行期限</w:t>
      </w:r>
      <w:r>
        <w:rPr>
          <w:rFonts w:hint="eastAsia" w:ascii="宋体" w:hAnsi="宋体" w:eastAsia="宋体" w:cs="宋体"/>
          <w:b w:val="0"/>
          <w:bCs w:val="0"/>
          <w:color w:val="auto"/>
          <w:highlight w:val="none"/>
          <w:lang w:val="en-US" w:bidi="ar-SA"/>
        </w:rPr>
        <w:t>：</w:t>
      </w:r>
      <w:r>
        <w:rPr>
          <w:rFonts w:hint="eastAsia" w:ascii="宋体" w:hAnsi="宋体" w:eastAsia="宋体" w:cs="宋体"/>
          <w:sz w:val="24"/>
          <w:szCs w:val="24"/>
        </w:rPr>
        <w:t>合同生效之日起，18个月完成所有服务内容，提供验收合格的地方标准。</w:t>
      </w:r>
    </w:p>
    <w:p w14:paraId="32F530DA">
      <w:pPr>
        <w:pStyle w:val="14"/>
        <w:numPr>
          <w:ilvl w:val="0"/>
          <w:numId w:val="0"/>
        </w:numPr>
        <w:rPr>
          <w:rFonts w:ascii="宋体" w:hAnsi="宋体" w:eastAsia="宋体"/>
          <w:sz w:val="24"/>
          <w:szCs w:val="24"/>
          <w:highlight w:val="none"/>
          <w:lang w:val="zh-CN"/>
        </w:rPr>
      </w:pPr>
      <w:r>
        <w:rPr>
          <w:rFonts w:hint="eastAsia" w:ascii="宋体" w:hAnsi="宋体" w:eastAsia="宋体"/>
          <w:sz w:val="24"/>
          <w:szCs w:val="24"/>
          <w:highlight w:val="none"/>
          <w:lang w:val="zh-CN"/>
        </w:rPr>
        <w:t>二、投标人资格要求</w:t>
      </w:r>
    </w:p>
    <w:p w14:paraId="24FF1066">
      <w:pPr>
        <w:tabs>
          <w:tab w:val="left" w:pos="355"/>
        </w:tabs>
        <w:spacing w:line="360" w:lineRule="auto"/>
        <w:jc w:val="left"/>
        <w:rPr>
          <w:rFonts w:asciiTheme="minorEastAsia" w:hAnsiTheme="minorEastAsia"/>
          <w:sz w:val="24"/>
          <w:szCs w:val="24"/>
        </w:rPr>
      </w:pPr>
      <w:r>
        <w:rPr>
          <w:rFonts w:asciiTheme="minorEastAsia" w:hAnsiTheme="minorEastAsia"/>
          <w:sz w:val="22"/>
        </w:rPr>
        <w:t>1.</w:t>
      </w:r>
      <w:r>
        <w:rPr>
          <w:rFonts w:asciiTheme="minorEastAsia" w:hAnsiTheme="minorEastAsia"/>
          <w:sz w:val="22"/>
        </w:rPr>
        <w:tab/>
      </w:r>
      <w:r>
        <w:rPr>
          <w:rFonts w:asciiTheme="minorEastAsia" w:hAnsiTheme="minorEastAsia"/>
          <w:sz w:val="24"/>
          <w:szCs w:val="24"/>
        </w:rPr>
        <w:t>投标人须具有有效的营业执照、税务登记证和组织机构代码证（或三证合一）；</w:t>
      </w:r>
    </w:p>
    <w:p w14:paraId="055D0539">
      <w:pPr>
        <w:tabs>
          <w:tab w:val="left" w:pos="780"/>
        </w:tabs>
        <w:spacing w:line="360" w:lineRule="auto"/>
        <w:jc w:val="left"/>
        <w:rPr>
          <w:rFonts w:asciiTheme="minorEastAsia" w:hAnsiTheme="minorEastAsia"/>
          <w:sz w:val="24"/>
          <w:szCs w:val="24"/>
        </w:rPr>
      </w:pPr>
      <w:r>
        <w:rPr>
          <w:rFonts w:asciiTheme="minorEastAsia" w:hAnsiTheme="minorEastAsia"/>
          <w:sz w:val="24"/>
          <w:szCs w:val="24"/>
        </w:rPr>
        <w:t>2、投标人须符合下列条件（投标人出具投标资格承诺函）：</w:t>
      </w:r>
    </w:p>
    <w:p w14:paraId="3DCF2888">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（1）具有独立承担民事责任的能力；</w:t>
      </w:r>
    </w:p>
    <w:p w14:paraId="1FF59C27">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2</w:t>
      </w:r>
      <w:r>
        <w:rPr>
          <w:rFonts w:hint="eastAsia" w:asciiTheme="minorEastAsia" w:hAnsiTheme="minorEastAsia"/>
          <w:sz w:val="24"/>
          <w:szCs w:val="24"/>
        </w:rPr>
        <w:t>）具有良好的商业信誉和健全的财务会计制度；</w:t>
      </w:r>
    </w:p>
    <w:p w14:paraId="50503856">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（3）具有履行合同所必需的设备和专业技术能力；</w:t>
      </w:r>
    </w:p>
    <w:p w14:paraId="3C286194">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（4）有依法缴纳税收和社会保障资金的良好记录；</w:t>
      </w:r>
    </w:p>
    <w:p w14:paraId="0E437591">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（5）本项目投标前三年内，在经营活动中没有重大违法记录；</w:t>
      </w:r>
    </w:p>
    <w:p w14:paraId="6F039FF6">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（6）未被安徽医科大学第一附属医院纳入投标黑名单；</w:t>
      </w:r>
    </w:p>
    <w:p w14:paraId="5F3C5D94">
      <w:pPr>
        <w:tabs>
          <w:tab w:val="left" w:pos="780"/>
        </w:tabs>
        <w:spacing w:line="360" w:lineRule="auto"/>
        <w:jc w:val="left"/>
        <w:rPr>
          <w:rFonts w:asciiTheme="minorEastAsia" w:hAnsiTheme="minorEastAsia"/>
          <w:sz w:val="24"/>
          <w:szCs w:val="24"/>
        </w:rPr>
      </w:pPr>
      <w:r>
        <w:rPr>
          <w:rFonts w:asciiTheme="minorEastAsia" w:hAnsiTheme="minorEastAsia"/>
          <w:sz w:val="24"/>
          <w:szCs w:val="24"/>
        </w:rPr>
        <w:t>3、供应商存在以下不良信用记录情形之一的，不得推荐为中标候选供应商，不得确定为中标供应商：</w:t>
      </w:r>
    </w:p>
    <w:p w14:paraId="698A58DA">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供应商被人民法院列入失信被执行人的；</w:t>
      </w:r>
    </w:p>
    <w:p w14:paraId="60D80003">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供应商或其法定代表人被人民检察院列入行贿犯罪档案的；</w:t>
      </w:r>
    </w:p>
    <w:p w14:paraId="649A2CC8">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（3）</w:t>
      </w:r>
      <w:r>
        <w:rPr>
          <w:rFonts w:asciiTheme="minorEastAsia" w:hAnsiTheme="minorEastAsia"/>
          <w:sz w:val="24"/>
          <w:szCs w:val="24"/>
        </w:rPr>
        <w:t>供应商被工商行政管理部门列入企业经营异常名录的；</w:t>
      </w:r>
    </w:p>
    <w:p w14:paraId="1ADBD255">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（4）</w:t>
      </w:r>
      <w:r>
        <w:rPr>
          <w:rFonts w:asciiTheme="minorEastAsia" w:hAnsiTheme="minorEastAsia"/>
          <w:sz w:val="24"/>
          <w:szCs w:val="24"/>
        </w:rPr>
        <w:t>供应商被税务部门列入重大税收违法案件当事人名单的；</w:t>
      </w:r>
    </w:p>
    <w:p w14:paraId="16802818">
      <w:pPr>
        <w:tabs>
          <w:tab w:val="left" w:pos="780"/>
        </w:tabs>
        <w:spacing w:line="360" w:lineRule="auto"/>
        <w:jc w:val="left"/>
        <w:rPr>
          <w:rFonts w:asciiTheme="minorEastAsia" w:hAnsiTheme="minorEastAsia"/>
          <w:sz w:val="24"/>
          <w:szCs w:val="24"/>
        </w:rPr>
      </w:pPr>
      <w:r>
        <w:rPr>
          <w:rFonts w:hint="eastAsia" w:asciiTheme="minorEastAsia" w:hAnsiTheme="minorEastAsia"/>
          <w:sz w:val="24"/>
          <w:szCs w:val="24"/>
        </w:rPr>
        <w:t>（5）</w:t>
      </w:r>
      <w:r>
        <w:rPr>
          <w:rFonts w:asciiTheme="minorEastAsia" w:hAnsiTheme="minorEastAsia"/>
          <w:sz w:val="24"/>
          <w:szCs w:val="24"/>
        </w:rPr>
        <w:t>供应商被招投标监管部门列入严重违法失信行为记录名单的。</w:t>
      </w:r>
    </w:p>
    <w:p w14:paraId="43D7312A">
      <w:pPr>
        <w:tabs>
          <w:tab w:val="left" w:pos="780"/>
        </w:tabs>
        <w:spacing w:line="360" w:lineRule="auto"/>
        <w:jc w:val="left"/>
        <w:rPr>
          <w:rFonts w:hint="eastAsia"/>
          <w:sz w:val="24"/>
          <w:szCs w:val="24"/>
          <w:highlight w:val="none"/>
          <w:lang w:eastAsia="zh-CN"/>
        </w:rPr>
      </w:pPr>
      <w:r>
        <w:rPr>
          <w:rFonts w:asciiTheme="minorEastAsia" w:hAnsiTheme="minorEastAsia" w:eastAsiaTheme="minorEastAsia"/>
          <w:sz w:val="24"/>
          <w:szCs w:val="24"/>
        </w:rPr>
        <w:t xml:space="preserve"> </w:t>
      </w:r>
      <w:r>
        <w:rPr>
          <w:rFonts w:asciiTheme="minorEastAsia" w:hAnsiTheme="minorEastAsia" w:eastAsiaTheme="minorEastAsia"/>
          <w:b/>
          <w:bCs/>
          <w:sz w:val="24"/>
          <w:szCs w:val="24"/>
        </w:rPr>
        <w:t>注：不接受联合体投标</w:t>
      </w:r>
      <w:r>
        <w:rPr>
          <w:rFonts w:hint="eastAsia" w:asciiTheme="minorEastAsia" w:hAnsiTheme="minorEastAsia" w:eastAsiaTheme="minorEastAsia"/>
          <w:b/>
          <w:bCs/>
          <w:sz w:val="24"/>
          <w:szCs w:val="24"/>
        </w:rPr>
        <w:t>。</w:t>
      </w:r>
    </w:p>
    <w:p w14:paraId="1BD74F67">
      <w:pPr>
        <w:pStyle w:val="14"/>
        <w:numPr>
          <w:ilvl w:val="0"/>
          <w:numId w:val="2"/>
        </w:numPr>
        <w:rPr>
          <w:rFonts w:hint="eastAsia"/>
          <w:sz w:val="24"/>
          <w:szCs w:val="24"/>
          <w:highlight w:val="none"/>
          <w:lang w:val="en-US" w:eastAsia="zh-CN"/>
        </w:rPr>
      </w:pPr>
      <w:r>
        <w:rPr>
          <w:rFonts w:hint="eastAsia" w:ascii="宋体" w:hAnsi="宋体" w:eastAsia="宋体"/>
          <w:sz w:val="24"/>
          <w:szCs w:val="24"/>
          <w:highlight w:val="none"/>
          <w:lang w:val="en-US" w:eastAsia="zh-CN"/>
        </w:rPr>
        <w:t>项目概况与服务需求</w:t>
      </w:r>
    </w:p>
    <w:p w14:paraId="1AB14886">
      <w:pPr>
        <w:pStyle w:val="14"/>
        <w:keepNext/>
        <w:keepLines/>
        <w:pageBreakBefore w:val="0"/>
        <w:widowControl w:val="0"/>
        <w:numPr>
          <w:ilvl w:val="3"/>
          <w:numId w:val="0"/>
        </w:numPr>
        <w:kinsoku/>
        <w:wordWrap/>
        <w:overflowPunct/>
        <w:topLinePunct w:val="0"/>
        <w:autoSpaceDE/>
        <w:autoSpaceDN/>
        <w:bidi w:val="0"/>
        <w:adjustRightInd/>
        <w:snapToGrid/>
        <w:spacing w:before="0" w:after="0" w:line="360" w:lineRule="auto"/>
        <w:textAlignment w:val="auto"/>
        <w:rPr>
          <w:rFonts w:hint="eastAsia"/>
          <w:sz w:val="24"/>
          <w:szCs w:val="24"/>
          <w:highlight w:val="none"/>
          <w:lang w:val="en-US" w:eastAsia="zh-CN"/>
        </w:rPr>
      </w:pPr>
    </w:p>
    <w:p w14:paraId="7ADB66ED">
      <w:pPr>
        <w:pStyle w:val="14"/>
        <w:keepNext/>
        <w:keepLines/>
        <w:pageBreakBefore w:val="0"/>
        <w:widowControl w:val="0"/>
        <w:numPr>
          <w:ilvl w:val="0"/>
          <w:numId w:val="3"/>
        </w:numPr>
        <w:kinsoku/>
        <w:wordWrap/>
        <w:overflowPunct/>
        <w:topLinePunct w:val="0"/>
        <w:autoSpaceDE/>
        <w:autoSpaceDN/>
        <w:bidi w:val="0"/>
        <w:adjustRightInd/>
        <w:snapToGrid/>
        <w:spacing w:before="0" w:after="0" w:line="360" w:lineRule="auto"/>
        <w:textAlignment w:val="auto"/>
        <w:rPr>
          <w:rFonts w:hint="eastAsia"/>
          <w:sz w:val="24"/>
          <w:szCs w:val="24"/>
          <w:highlight w:val="none"/>
          <w:lang w:val="en-US" w:eastAsia="zh-CN"/>
        </w:rPr>
      </w:pPr>
      <w:r>
        <w:rPr>
          <w:rFonts w:hint="eastAsia"/>
          <w:sz w:val="24"/>
          <w:szCs w:val="24"/>
          <w:highlight w:val="none"/>
          <w:lang w:val="en-US" w:eastAsia="zh-CN"/>
        </w:rPr>
        <w:t>项目概况</w:t>
      </w:r>
    </w:p>
    <w:p w14:paraId="2B352012">
      <w:pPr>
        <w:pStyle w:val="14"/>
        <w:keepNext/>
        <w:keepLines/>
        <w:pageBreakBefore w:val="0"/>
        <w:widowControl w:val="0"/>
        <w:numPr>
          <w:ilvl w:val="3"/>
          <w:numId w:val="0"/>
        </w:numPr>
        <w:kinsoku/>
        <w:wordWrap/>
        <w:overflowPunct/>
        <w:topLinePunct w:val="0"/>
        <w:autoSpaceDE/>
        <w:autoSpaceDN/>
        <w:bidi w:val="0"/>
        <w:adjustRightInd/>
        <w:snapToGrid/>
        <w:spacing w:before="0" w:after="0" w:line="360" w:lineRule="auto"/>
        <w:ind w:firstLine="480" w:firstLineChars="200"/>
        <w:textAlignment w:val="auto"/>
        <w:rPr>
          <w:rFonts w:hint="default" w:eastAsia="宋体"/>
          <w:b w:val="0"/>
          <w:bCs w:val="0"/>
          <w:sz w:val="24"/>
          <w:szCs w:val="24"/>
          <w:highlight w:val="none"/>
          <w:lang w:val="en-US" w:eastAsia="zh-CN"/>
        </w:rPr>
      </w:pPr>
      <w:r>
        <w:rPr>
          <w:rFonts w:hint="eastAsia"/>
          <w:b w:val="0"/>
          <w:bCs w:val="0"/>
          <w:sz w:val="24"/>
          <w:szCs w:val="24"/>
          <w:highlight w:val="none"/>
          <w:lang w:val="en-US" w:eastAsia="zh-CN"/>
        </w:rPr>
        <w:t>制定与地方经济发展水平相适应的数据集标准有着非常重要的现实意义，能指导本省医疗行业标准化和信息化建设，进一步满足医疗数据共享利用需求，为了顺应数字化时代潮流，持续提高本省医疗行业的数据质量，满足特定场景数据使用需求，2024年3月由安徽医科大学第一附属医院牵头起草《</w:t>
      </w:r>
      <w:r>
        <w:rPr>
          <w:rFonts w:hint="eastAsia" w:ascii="宋体" w:hAnsi="宋体" w:eastAsia="宋体" w:cs="宋体"/>
          <w:b w:val="0"/>
          <w:bCs w:val="0"/>
          <w:i w:val="0"/>
          <w:iCs w:val="0"/>
          <w:caps w:val="0"/>
          <w:color w:val="000000"/>
          <w:spacing w:val="0"/>
          <w:sz w:val="21"/>
          <w:szCs w:val="21"/>
          <w:shd w:val="clear" w:fill="FFFFFF"/>
        </w:rPr>
        <w:t>内科疾病诊疗数据集  第1部分：脂肪性肝病数据</w:t>
      </w:r>
      <w:r>
        <w:rPr>
          <w:rFonts w:hint="eastAsia"/>
          <w:b w:val="0"/>
          <w:bCs w:val="0"/>
          <w:sz w:val="24"/>
          <w:szCs w:val="24"/>
          <w:highlight w:val="none"/>
          <w:lang w:val="en-US" w:eastAsia="zh-CN"/>
        </w:rPr>
        <w:t>》与《重症医学数据集  第3部分：脓毒症数据》，2024年7月获</w:t>
      </w:r>
      <w:r>
        <w:rPr>
          <w:rFonts w:hint="default"/>
          <w:b w:val="0"/>
          <w:bCs w:val="0"/>
          <w:sz w:val="24"/>
          <w:szCs w:val="24"/>
          <w:highlight w:val="none"/>
          <w:lang w:val="en-US" w:eastAsia="zh-CN"/>
        </w:rPr>
        <w:t>安徽省市场监督管理局</w:t>
      </w:r>
      <w:r>
        <w:rPr>
          <w:rFonts w:hint="eastAsia"/>
          <w:b w:val="0"/>
          <w:bCs w:val="0"/>
          <w:sz w:val="24"/>
          <w:szCs w:val="24"/>
          <w:highlight w:val="none"/>
          <w:lang w:val="en-US" w:eastAsia="zh-CN"/>
        </w:rPr>
        <w:t>立项公示，</w:t>
      </w:r>
      <w:r>
        <w:rPr>
          <w:rFonts w:hint="default"/>
          <w:b w:val="0"/>
          <w:bCs w:val="0"/>
          <w:sz w:val="24"/>
          <w:szCs w:val="24"/>
          <w:highlight w:val="none"/>
          <w:lang w:val="en-US" w:eastAsia="zh-CN"/>
        </w:rPr>
        <w:t>根据安徽省市场监督管理局发布的安徽省地方标准制修订计划的通知等文件要求，</w:t>
      </w:r>
      <w:r>
        <w:rPr>
          <w:rFonts w:hint="eastAsia"/>
          <w:b w:val="0"/>
          <w:bCs w:val="0"/>
          <w:sz w:val="24"/>
          <w:szCs w:val="24"/>
          <w:highlight w:val="none"/>
          <w:lang w:val="en-US" w:eastAsia="zh-CN"/>
        </w:rPr>
        <w:t>本单位</w:t>
      </w:r>
      <w:r>
        <w:rPr>
          <w:rFonts w:hint="default"/>
          <w:b w:val="0"/>
          <w:bCs w:val="0"/>
          <w:sz w:val="24"/>
          <w:szCs w:val="24"/>
          <w:highlight w:val="none"/>
          <w:lang w:val="en-US" w:eastAsia="zh-CN"/>
        </w:rPr>
        <w:t>委托第三方</w:t>
      </w:r>
      <w:r>
        <w:rPr>
          <w:rFonts w:hint="eastAsia"/>
          <w:b w:val="0"/>
          <w:bCs w:val="0"/>
          <w:sz w:val="24"/>
          <w:szCs w:val="24"/>
          <w:highlight w:val="none"/>
          <w:lang w:val="en-US" w:eastAsia="zh-CN"/>
        </w:rPr>
        <w:t>协助</w:t>
      </w:r>
      <w:r>
        <w:rPr>
          <w:rFonts w:hint="default"/>
          <w:b w:val="0"/>
          <w:bCs w:val="0"/>
          <w:sz w:val="24"/>
          <w:szCs w:val="24"/>
          <w:highlight w:val="none"/>
          <w:lang w:val="en-US" w:eastAsia="zh-CN"/>
        </w:rPr>
        <w:t>开展</w:t>
      </w:r>
      <w:r>
        <w:rPr>
          <w:rFonts w:hint="eastAsia"/>
          <w:b w:val="0"/>
          <w:bCs w:val="0"/>
          <w:sz w:val="24"/>
          <w:szCs w:val="24"/>
          <w:highlight w:val="none"/>
          <w:lang w:val="en-US" w:eastAsia="zh-CN"/>
        </w:rPr>
        <w:t>《</w:t>
      </w:r>
      <w:r>
        <w:rPr>
          <w:rFonts w:hint="eastAsia" w:ascii="宋体" w:hAnsi="宋体" w:eastAsia="宋体" w:cs="宋体"/>
          <w:b w:val="0"/>
          <w:bCs w:val="0"/>
          <w:i w:val="0"/>
          <w:iCs w:val="0"/>
          <w:caps w:val="0"/>
          <w:color w:val="000000"/>
          <w:spacing w:val="0"/>
          <w:sz w:val="21"/>
          <w:szCs w:val="21"/>
          <w:shd w:val="clear" w:fill="FFFFFF"/>
        </w:rPr>
        <w:t>内科疾病诊疗数据集  第1部分：脂肪性肝病数据</w:t>
      </w:r>
      <w:r>
        <w:rPr>
          <w:rFonts w:hint="eastAsia"/>
          <w:b w:val="0"/>
          <w:bCs w:val="0"/>
          <w:sz w:val="24"/>
          <w:szCs w:val="24"/>
          <w:highlight w:val="none"/>
          <w:lang w:val="en-US" w:eastAsia="zh-CN"/>
        </w:rPr>
        <w:t>》与《重症医学数据集  第3部分：脓毒症数据》</w:t>
      </w:r>
      <w:r>
        <w:rPr>
          <w:rFonts w:hint="default"/>
          <w:b w:val="0"/>
          <w:bCs w:val="0"/>
          <w:sz w:val="24"/>
          <w:szCs w:val="24"/>
          <w:highlight w:val="none"/>
          <w:lang w:val="en-US" w:eastAsia="zh-CN"/>
        </w:rPr>
        <w:t>地方标准研制工作。</w:t>
      </w:r>
    </w:p>
    <w:bookmarkEnd w:id="0"/>
    <w:bookmarkEnd w:id="1"/>
    <w:bookmarkEnd w:id="2"/>
    <w:p w14:paraId="1A2EE8E5">
      <w:pPr>
        <w:pStyle w:val="5"/>
        <w:pageBreakBefore w:val="0"/>
        <w:kinsoku/>
        <w:wordWrap/>
        <w:overflowPunct/>
        <w:topLinePunct w:val="0"/>
        <w:autoSpaceDE/>
        <w:autoSpaceDN/>
        <w:bidi w:val="0"/>
        <w:adjustRightInd/>
        <w:snapToGrid/>
        <w:spacing w:before="0" w:after="0"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rPr>
        <w:t>服务</w:t>
      </w:r>
      <w:r>
        <w:rPr>
          <w:rFonts w:hint="eastAsia" w:ascii="宋体" w:hAnsi="宋体" w:eastAsia="宋体" w:cs="宋体"/>
          <w:sz w:val="24"/>
          <w:szCs w:val="24"/>
          <w:lang w:val="en-US" w:eastAsia="zh-CN"/>
        </w:rPr>
        <w:t>需求</w:t>
      </w:r>
    </w:p>
    <w:p w14:paraId="724C9027">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（1）对甲方的标准制定工作进行全程跟踪指导服务。</w:t>
      </w:r>
    </w:p>
    <w:p w14:paraId="0E09FE61">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cs="宋体"/>
          <w:kern w:val="2"/>
          <w:sz w:val="24"/>
          <w:szCs w:val="24"/>
          <w:lang w:val="en-US" w:eastAsia="zh-CN"/>
        </w:rPr>
        <w:t>2</w:t>
      </w:r>
      <w:r>
        <w:rPr>
          <w:rFonts w:hint="eastAsia" w:ascii="宋体" w:hAnsi="宋体" w:eastAsia="宋体" w:cs="宋体"/>
          <w:kern w:val="2"/>
          <w:sz w:val="24"/>
          <w:szCs w:val="24"/>
        </w:rPr>
        <w:t>）指导协助甲方对标准草案进行修订和编写标准编制说明，形成标准研讨</w:t>
      </w:r>
      <w:r>
        <w:rPr>
          <w:rFonts w:hint="eastAsia" w:cs="宋体"/>
          <w:kern w:val="2"/>
          <w:sz w:val="24"/>
          <w:szCs w:val="24"/>
          <w:lang w:val="en-US" w:eastAsia="zh-CN"/>
        </w:rPr>
        <w:t>稿</w:t>
      </w:r>
      <w:r>
        <w:rPr>
          <w:rFonts w:hint="eastAsia" w:ascii="宋体" w:hAnsi="宋体" w:eastAsia="宋体" w:cs="宋体"/>
          <w:kern w:val="2"/>
          <w:sz w:val="24"/>
          <w:szCs w:val="24"/>
        </w:rPr>
        <w:t>。</w:t>
      </w:r>
    </w:p>
    <w:p w14:paraId="1B3244F2">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cs="宋体"/>
          <w:kern w:val="2"/>
          <w:sz w:val="24"/>
          <w:szCs w:val="24"/>
          <w:lang w:val="en-US" w:eastAsia="zh-CN"/>
        </w:rPr>
        <w:t>3</w:t>
      </w:r>
      <w:r>
        <w:rPr>
          <w:rFonts w:hint="eastAsia" w:ascii="宋体" w:hAnsi="宋体" w:eastAsia="宋体" w:cs="宋体"/>
          <w:kern w:val="2"/>
          <w:sz w:val="24"/>
          <w:szCs w:val="24"/>
        </w:rPr>
        <w:t>）指导协助甲方召开标准专家研讨会</w:t>
      </w:r>
      <w:r>
        <w:rPr>
          <w:rFonts w:hint="eastAsia" w:cs="宋体"/>
          <w:kern w:val="2"/>
          <w:sz w:val="24"/>
          <w:szCs w:val="24"/>
          <w:lang w:eastAsia="zh-CN"/>
        </w:rPr>
        <w:t>（</w:t>
      </w:r>
      <w:r>
        <w:rPr>
          <w:rFonts w:hint="eastAsia" w:cs="宋体"/>
          <w:kern w:val="2"/>
          <w:sz w:val="24"/>
          <w:szCs w:val="24"/>
          <w:lang w:val="en-US" w:eastAsia="zh-CN"/>
        </w:rPr>
        <w:t>会议所产生的一切费用均由乙方承担</w:t>
      </w:r>
      <w:r>
        <w:rPr>
          <w:rFonts w:hint="eastAsia" w:cs="宋体"/>
          <w:kern w:val="2"/>
          <w:sz w:val="24"/>
          <w:szCs w:val="24"/>
          <w:lang w:eastAsia="zh-CN"/>
        </w:rPr>
        <w:t>）</w:t>
      </w:r>
      <w:r>
        <w:rPr>
          <w:rFonts w:hint="eastAsia" w:ascii="宋体" w:hAnsi="宋体" w:eastAsia="宋体" w:cs="宋体"/>
          <w:kern w:val="2"/>
          <w:sz w:val="24"/>
          <w:szCs w:val="24"/>
        </w:rPr>
        <w:t>，根据专家意见指导和协助甲方修订标准以及编制说明，形成征求意见稿。</w:t>
      </w:r>
    </w:p>
    <w:p w14:paraId="18CFF26E">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cs="宋体"/>
          <w:kern w:val="2"/>
          <w:sz w:val="24"/>
          <w:szCs w:val="24"/>
          <w:lang w:val="en-US" w:eastAsia="zh-CN"/>
        </w:rPr>
        <w:t>4</w:t>
      </w:r>
      <w:r>
        <w:rPr>
          <w:rFonts w:hint="eastAsia" w:ascii="宋体" w:hAnsi="宋体" w:eastAsia="宋体" w:cs="宋体"/>
          <w:kern w:val="2"/>
          <w:sz w:val="24"/>
          <w:szCs w:val="24"/>
        </w:rPr>
        <w:t>）指导协助甲方完成标准征求意见工作，同时根据征求意见反馈信息指导和协助甲方修订标准以及编制说明，形成送审稿。</w:t>
      </w:r>
    </w:p>
    <w:p w14:paraId="0342BA30">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cs="宋体"/>
          <w:kern w:val="2"/>
          <w:sz w:val="24"/>
          <w:szCs w:val="24"/>
          <w:lang w:val="en-US" w:eastAsia="zh-CN"/>
        </w:rPr>
        <w:t>5</w:t>
      </w:r>
      <w:r>
        <w:rPr>
          <w:rFonts w:hint="eastAsia" w:ascii="宋体" w:hAnsi="宋体" w:eastAsia="宋体" w:cs="宋体"/>
          <w:kern w:val="2"/>
          <w:sz w:val="24"/>
          <w:szCs w:val="24"/>
        </w:rPr>
        <w:t>）指导协助甲方完成标准送审工作，指导协助甲方召开标准技术审查会</w:t>
      </w:r>
      <w:r>
        <w:rPr>
          <w:rFonts w:hint="eastAsia" w:cs="宋体"/>
          <w:kern w:val="2"/>
          <w:sz w:val="24"/>
          <w:szCs w:val="24"/>
          <w:lang w:eastAsia="zh-CN"/>
        </w:rPr>
        <w:t>（</w:t>
      </w:r>
      <w:r>
        <w:rPr>
          <w:rFonts w:hint="eastAsia" w:cs="宋体"/>
          <w:kern w:val="2"/>
          <w:sz w:val="24"/>
          <w:szCs w:val="24"/>
          <w:lang w:val="en-US" w:eastAsia="zh-CN"/>
        </w:rPr>
        <w:t>会议所产生的一切费用均由乙方承担</w:t>
      </w:r>
      <w:r>
        <w:rPr>
          <w:rFonts w:hint="eastAsia" w:cs="宋体"/>
          <w:kern w:val="2"/>
          <w:sz w:val="24"/>
          <w:szCs w:val="24"/>
          <w:lang w:eastAsia="zh-CN"/>
        </w:rPr>
        <w:t>）</w:t>
      </w:r>
      <w:r>
        <w:rPr>
          <w:rFonts w:hint="eastAsia" w:ascii="宋体" w:hAnsi="宋体" w:eastAsia="宋体" w:cs="宋体"/>
          <w:kern w:val="2"/>
          <w:sz w:val="24"/>
          <w:szCs w:val="24"/>
        </w:rPr>
        <w:t>，根据审查会意见修改标准以及编制说明，形成报批稿。</w:t>
      </w:r>
    </w:p>
    <w:p w14:paraId="6306EC27">
      <w:pPr>
        <w:pStyle w:val="11"/>
        <w:pageBreakBefore w:val="0"/>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kern w:val="2"/>
          <w:sz w:val="24"/>
          <w:szCs w:val="24"/>
        </w:rPr>
      </w:pPr>
      <w:r>
        <w:rPr>
          <w:rFonts w:hint="eastAsia" w:ascii="宋体" w:hAnsi="宋体" w:eastAsia="宋体" w:cs="宋体"/>
          <w:kern w:val="2"/>
          <w:sz w:val="24"/>
          <w:szCs w:val="24"/>
        </w:rPr>
        <w:t>（</w:t>
      </w:r>
      <w:r>
        <w:rPr>
          <w:rFonts w:hint="eastAsia" w:cs="宋体"/>
          <w:kern w:val="2"/>
          <w:sz w:val="24"/>
          <w:szCs w:val="24"/>
          <w:lang w:val="en-US" w:eastAsia="zh-CN"/>
        </w:rPr>
        <w:t>6</w:t>
      </w:r>
      <w:r>
        <w:rPr>
          <w:rFonts w:hint="eastAsia" w:ascii="宋体" w:hAnsi="宋体" w:eastAsia="宋体" w:cs="宋体"/>
          <w:kern w:val="2"/>
          <w:sz w:val="24"/>
          <w:szCs w:val="24"/>
        </w:rPr>
        <w:t>）指导协助甲方完成标准报批发布工作。</w:t>
      </w:r>
    </w:p>
    <w:p w14:paraId="4F6C95B2">
      <w:pPr>
        <w:spacing w:line="360" w:lineRule="auto"/>
        <w:rPr>
          <w:rFonts w:cs="宋体" w:asciiTheme="minorEastAsia" w:hAnsiTheme="minorEastAsia"/>
          <w:b/>
          <w:sz w:val="24"/>
          <w:szCs w:val="18"/>
        </w:rPr>
      </w:pPr>
      <w:r>
        <w:rPr>
          <w:rFonts w:hint="eastAsia" w:cs="宋体" w:asciiTheme="minorEastAsia" w:hAnsiTheme="minorEastAsia"/>
          <w:b/>
          <w:sz w:val="24"/>
          <w:szCs w:val="18"/>
        </w:rPr>
        <w:t>四、付款方式</w:t>
      </w:r>
    </w:p>
    <w:p w14:paraId="77E965A9">
      <w:pPr>
        <w:spacing w:line="360" w:lineRule="auto"/>
        <w:ind w:firstLine="480" w:firstLineChars="200"/>
        <w:rPr>
          <w:rFonts w:hint="eastAsia" w:ascii="宋体" w:hAnsi="宋体" w:eastAsia="宋体" w:cs="宋体"/>
          <w:kern w:val="2"/>
          <w:sz w:val="24"/>
          <w:szCs w:val="24"/>
        </w:rPr>
      </w:pPr>
      <w:r>
        <w:rPr>
          <w:rFonts w:hint="eastAsia" w:cs="宋体" w:asciiTheme="minorEastAsia" w:hAnsiTheme="minorEastAsia"/>
          <w:sz w:val="24"/>
          <w:szCs w:val="24"/>
        </w:rPr>
        <w:t>甲乙双方</w:t>
      </w:r>
      <w:r>
        <w:rPr>
          <w:rFonts w:hint="eastAsia" w:cs="宋体" w:asciiTheme="minorEastAsia" w:hAnsiTheme="minorEastAsia"/>
          <w:sz w:val="24"/>
          <w:szCs w:val="24"/>
          <w:lang w:val="en-US" w:eastAsia="zh-CN"/>
        </w:rPr>
        <w:t>合同签订</w:t>
      </w:r>
      <w:r>
        <w:rPr>
          <w:rFonts w:hint="eastAsia" w:cs="宋体" w:asciiTheme="minorEastAsia" w:hAnsiTheme="minorEastAsia"/>
          <w:sz w:val="24"/>
          <w:szCs w:val="24"/>
        </w:rPr>
        <w:t>后支付合同款的</w:t>
      </w:r>
      <w:r>
        <w:rPr>
          <w:rFonts w:cs="宋体" w:asciiTheme="minorEastAsia" w:hAnsiTheme="minorEastAsia"/>
          <w:sz w:val="24"/>
          <w:szCs w:val="24"/>
        </w:rPr>
        <w:t>100</w:t>
      </w:r>
      <w:r>
        <w:rPr>
          <w:rFonts w:hint="eastAsia" w:cs="宋体" w:asciiTheme="minorEastAsia" w:hAnsiTheme="minorEastAsia"/>
          <w:sz w:val="24"/>
          <w:szCs w:val="24"/>
        </w:rPr>
        <w:t>%。</w:t>
      </w:r>
    </w:p>
    <w:p w14:paraId="1993F92A">
      <w:pPr>
        <w:pStyle w:val="14"/>
        <w:rPr>
          <w:sz w:val="24"/>
          <w:szCs w:val="24"/>
          <w:highlight w:val="none"/>
        </w:rPr>
      </w:pPr>
      <w:r>
        <w:rPr>
          <w:rFonts w:hint="eastAsia"/>
          <w:sz w:val="24"/>
          <w:szCs w:val="24"/>
          <w:highlight w:val="none"/>
          <w:lang w:val="en-US" w:eastAsia="zh-CN"/>
        </w:rPr>
        <w:t>五</w:t>
      </w:r>
      <w:r>
        <w:rPr>
          <w:rFonts w:hint="eastAsia"/>
          <w:sz w:val="24"/>
          <w:szCs w:val="24"/>
          <w:highlight w:val="none"/>
          <w:lang w:eastAsia="zh-CN"/>
        </w:rPr>
        <w:t>、</w:t>
      </w:r>
      <w:r>
        <w:rPr>
          <w:rFonts w:hint="eastAsia"/>
          <w:sz w:val="24"/>
          <w:szCs w:val="24"/>
          <w:highlight w:val="none"/>
        </w:rPr>
        <w:t>评标方法和标准</w:t>
      </w:r>
    </w:p>
    <w:p w14:paraId="526A6690">
      <w:pPr>
        <w:adjustRightInd w:val="0"/>
        <w:snapToGrid w:val="0"/>
        <w:spacing w:line="360" w:lineRule="auto"/>
        <w:ind w:right="-10" w:firstLine="480" w:firstLineChars="200"/>
        <w:rPr>
          <w:sz w:val="24"/>
          <w:highlight w:val="none"/>
        </w:rPr>
      </w:pPr>
      <w:r>
        <w:rPr>
          <w:rFonts w:hint="eastAsia" w:cs="宋体-18030"/>
          <w:sz w:val="24"/>
          <w:highlight w:val="none"/>
        </w:rPr>
        <w:t>本项目采用综合评分法进行评审，在最大限度地满足招标文件实质性要求前提下，按照招标文件中规定的各项因素进行综合评审。综合评分法的主要因素是：技术标、商务标以及相应的比重。满分为100分，具体分值如下：</w:t>
      </w:r>
    </w:p>
    <w:tbl>
      <w:tblPr>
        <w:tblStyle w:val="12"/>
        <w:tblpPr w:leftFromText="180" w:rightFromText="180" w:vertAnchor="text" w:tblpX="110" w:tblpY="1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5016"/>
        <w:gridCol w:w="2550"/>
      </w:tblGrid>
      <w:tr w14:paraId="5CB18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47" w:type="dxa"/>
            <w:noWrap w:val="0"/>
            <w:vAlign w:val="center"/>
          </w:tcPr>
          <w:p w14:paraId="0A36119B">
            <w:pPr>
              <w:adjustRightInd w:val="0"/>
              <w:snapToGrid w:val="0"/>
              <w:spacing w:line="360" w:lineRule="auto"/>
              <w:ind w:right="-10"/>
              <w:jc w:val="center"/>
              <w:rPr>
                <w:sz w:val="24"/>
                <w:highlight w:val="none"/>
              </w:rPr>
            </w:pPr>
            <w:r>
              <w:rPr>
                <w:rFonts w:hint="eastAsia"/>
                <w:sz w:val="24"/>
                <w:highlight w:val="none"/>
              </w:rPr>
              <w:t>类别</w:t>
            </w:r>
          </w:p>
        </w:tc>
        <w:tc>
          <w:tcPr>
            <w:tcW w:w="5016" w:type="dxa"/>
            <w:noWrap w:val="0"/>
            <w:vAlign w:val="center"/>
          </w:tcPr>
          <w:p w14:paraId="2F55224B">
            <w:pPr>
              <w:adjustRightInd w:val="0"/>
              <w:snapToGrid w:val="0"/>
              <w:spacing w:line="360" w:lineRule="auto"/>
              <w:ind w:right="-10"/>
              <w:jc w:val="center"/>
              <w:rPr>
                <w:sz w:val="24"/>
                <w:highlight w:val="none"/>
              </w:rPr>
            </w:pPr>
            <w:r>
              <w:rPr>
                <w:rFonts w:hint="eastAsia"/>
                <w:sz w:val="24"/>
                <w:highlight w:val="none"/>
              </w:rPr>
              <w:t>技术标得分（%）</w:t>
            </w:r>
          </w:p>
        </w:tc>
        <w:tc>
          <w:tcPr>
            <w:tcW w:w="2550" w:type="dxa"/>
            <w:noWrap w:val="0"/>
            <w:vAlign w:val="center"/>
          </w:tcPr>
          <w:p w14:paraId="2C445965">
            <w:pPr>
              <w:adjustRightInd w:val="0"/>
              <w:snapToGrid w:val="0"/>
              <w:spacing w:line="360" w:lineRule="auto"/>
              <w:ind w:right="-10"/>
              <w:jc w:val="center"/>
              <w:rPr>
                <w:sz w:val="24"/>
                <w:highlight w:val="none"/>
              </w:rPr>
            </w:pPr>
            <w:r>
              <w:rPr>
                <w:rFonts w:hint="eastAsia"/>
                <w:sz w:val="24"/>
                <w:highlight w:val="none"/>
              </w:rPr>
              <w:t>商务标得分（%）</w:t>
            </w:r>
          </w:p>
        </w:tc>
      </w:tr>
      <w:tr w14:paraId="33AC4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47" w:type="dxa"/>
            <w:noWrap w:val="0"/>
            <w:vAlign w:val="center"/>
          </w:tcPr>
          <w:p w14:paraId="6FB1F322">
            <w:pPr>
              <w:adjustRightInd w:val="0"/>
              <w:snapToGrid w:val="0"/>
              <w:spacing w:line="360" w:lineRule="auto"/>
              <w:ind w:right="-10"/>
              <w:jc w:val="center"/>
              <w:rPr>
                <w:sz w:val="24"/>
                <w:highlight w:val="none"/>
              </w:rPr>
            </w:pPr>
            <w:r>
              <w:rPr>
                <w:rFonts w:hint="eastAsia"/>
                <w:sz w:val="24"/>
                <w:highlight w:val="none"/>
              </w:rPr>
              <w:t>分值</w:t>
            </w:r>
          </w:p>
        </w:tc>
        <w:tc>
          <w:tcPr>
            <w:tcW w:w="5016" w:type="dxa"/>
            <w:noWrap w:val="0"/>
            <w:vAlign w:val="center"/>
          </w:tcPr>
          <w:p w14:paraId="1766D756">
            <w:pPr>
              <w:adjustRightInd w:val="0"/>
              <w:snapToGrid w:val="0"/>
              <w:spacing w:line="360" w:lineRule="auto"/>
              <w:ind w:right="-10"/>
              <w:jc w:val="center"/>
              <w:rPr>
                <w:rFonts w:hint="default" w:eastAsia="宋体"/>
                <w:sz w:val="24"/>
                <w:highlight w:val="none"/>
                <w:lang w:val="en-US" w:eastAsia="zh-CN"/>
              </w:rPr>
            </w:pPr>
            <w:r>
              <w:rPr>
                <w:rFonts w:hint="eastAsia"/>
                <w:sz w:val="24"/>
                <w:highlight w:val="none"/>
                <w:lang w:val="en-US" w:eastAsia="zh-CN"/>
              </w:rPr>
              <w:t>70</w:t>
            </w:r>
          </w:p>
        </w:tc>
        <w:tc>
          <w:tcPr>
            <w:tcW w:w="2550" w:type="dxa"/>
            <w:noWrap w:val="0"/>
            <w:vAlign w:val="center"/>
          </w:tcPr>
          <w:p w14:paraId="351AED72">
            <w:pPr>
              <w:adjustRightInd w:val="0"/>
              <w:snapToGrid w:val="0"/>
              <w:spacing w:line="360" w:lineRule="auto"/>
              <w:ind w:right="-10"/>
              <w:jc w:val="center"/>
              <w:rPr>
                <w:sz w:val="24"/>
                <w:highlight w:val="none"/>
              </w:rPr>
            </w:pPr>
            <w:r>
              <w:rPr>
                <w:rFonts w:hint="eastAsia"/>
                <w:sz w:val="24"/>
                <w:highlight w:val="none"/>
                <w:lang w:val="en-US" w:eastAsia="zh-CN"/>
              </w:rPr>
              <w:t>3</w:t>
            </w:r>
            <w:r>
              <w:rPr>
                <w:rFonts w:hint="eastAsia"/>
                <w:sz w:val="24"/>
                <w:highlight w:val="none"/>
              </w:rPr>
              <w:t>0</w:t>
            </w:r>
          </w:p>
        </w:tc>
      </w:tr>
    </w:tbl>
    <w:p w14:paraId="3EF6BBFB">
      <w:pPr>
        <w:pStyle w:val="16"/>
        <w:widowControl w:val="0"/>
        <w:numPr>
          <w:ilvl w:val="0"/>
          <w:numId w:val="0"/>
        </w:numPr>
        <w:adjustRightInd w:val="0"/>
        <w:spacing w:line="360" w:lineRule="auto"/>
        <w:jc w:val="left"/>
        <w:textAlignment w:val="baseline"/>
        <w:rPr>
          <w:rFonts w:hint="eastAsia" w:ascii="宋体" w:hAnsi="宋体" w:eastAsia="宋体"/>
          <w:b/>
          <w:bCs/>
          <w:color w:val="000000"/>
          <w:kern w:val="2"/>
          <w:sz w:val="24"/>
          <w:szCs w:val="24"/>
          <w:highlight w:val="none"/>
          <w:lang w:eastAsia="zh-CN"/>
        </w:rPr>
      </w:pPr>
    </w:p>
    <w:p w14:paraId="176B1E20">
      <w:pPr>
        <w:pStyle w:val="16"/>
        <w:keepNext w:val="0"/>
        <w:keepLines w:val="0"/>
        <w:pageBreakBefore w:val="0"/>
        <w:widowControl w:val="0"/>
        <w:numPr>
          <w:ilvl w:val="0"/>
          <w:numId w:val="0"/>
        </w:numPr>
        <w:kinsoku/>
        <w:wordWrap/>
        <w:overflowPunct/>
        <w:topLinePunct w:val="0"/>
        <w:autoSpaceDE/>
        <w:autoSpaceDN/>
        <w:bidi w:val="0"/>
        <w:adjustRightInd w:val="0"/>
        <w:snapToGrid/>
        <w:spacing w:line="360" w:lineRule="auto"/>
        <w:jc w:val="left"/>
        <w:textAlignment w:val="baseline"/>
        <w:rPr>
          <w:rFonts w:hint="eastAsia" w:ascii="宋体" w:hAnsi="宋体" w:eastAsia="宋体"/>
          <w:color w:val="000000"/>
          <w:kern w:val="2"/>
          <w:sz w:val="24"/>
          <w:szCs w:val="24"/>
          <w:highlight w:val="none"/>
        </w:rPr>
      </w:pPr>
      <w:r>
        <w:rPr>
          <w:rFonts w:hint="eastAsia" w:ascii="宋体" w:hAnsi="宋体" w:eastAsia="宋体"/>
          <w:b/>
          <w:bCs/>
          <w:color w:val="000000"/>
          <w:kern w:val="2"/>
          <w:sz w:val="24"/>
          <w:szCs w:val="24"/>
          <w:highlight w:val="none"/>
          <w:lang w:eastAsia="zh-CN"/>
        </w:rPr>
        <w:t>详细评审指标如下：</w:t>
      </w:r>
    </w:p>
    <w:tbl>
      <w:tblPr>
        <w:tblStyle w:val="12"/>
        <w:tblpPr w:leftFromText="180" w:rightFromText="180" w:vertAnchor="text" w:horzAnchor="page" w:tblpX="2002" w:tblpY="4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4"/>
        <w:gridCol w:w="1276"/>
        <w:gridCol w:w="4394"/>
        <w:gridCol w:w="1468"/>
      </w:tblGrid>
      <w:tr w14:paraId="38DE7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4" w:type="dxa"/>
            <w:noWrap w:val="0"/>
            <w:vAlign w:val="top"/>
          </w:tcPr>
          <w:p w14:paraId="5552D06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类别</w:t>
            </w:r>
          </w:p>
        </w:tc>
        <w:tc>
          <w:tcPr>
            <w:tcW w:w="1276" w:type="dxa"/>
            <w:noWrap w:val="0"/>
            <w:vAlign w:val="top"/>
          </w:tcPr>
          <w:p w14:paraId="1E95637E">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评分内容</w:t>
            </w:r>
          </w:p>
        </w:tc>
        <w:tc>
          <w:tcPr>
            <w:tcW w:w="4394" w:type="dxa"/>
            <w:noWrap w:val="0"/>
            <w:vAlign w:val="top"/>
          </w:tcPr>
          <w:p w14:paraId="13D794E6">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评分标准</w:t>
            </w:r>
          </w:p>
        </w:tc>
        <w:tc>
          <w:tcPr>
            <w:tcW w:w="1468" w:type="dxa"/>
            <w:noWrap w:val="0"/>
            <w:vAlign w:val="top"/>
          </w:tcPr>
          <w:p w14:paraId="31EE5B1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分值范围</w:t>
            </w:r>
          </w:p>
        </w:tc>
      </w:tr>
      <w:tr w14:paraId="59B54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Merge w:val="restart"/>
            <w:noWrap w:val="0"/>
            <w:vAlign w:val="center"/>
          </w:tcPr>
          <w:p w14:paraId="275C97B3">
            <w:pPr>
              <w:spacing w:line="360" w:lineRule="exact"/>
              <w:rPr>
                <w:rFonts w:hint="eastAsia" w:ascii="宋体" w:hAnsi="宋体" w:eastAsia="宋体" w:cs="宋体"/>
                <w:sz w:val="24"/>
                <w:szCs w:val="24"/>
              </w:rPr>
            </w:pPr>
            <w:r>
              <w:rPr>
                <w:rFonts w:hint="eastAsia" w:ascii="宋体" w:hAnsi="宋体" w:eastAsia="宋体" w:cs="宋体"/>
                <w:sz w:val="24"/>
                <w:szCs w:val="24"/>
              </w:rPr>
              <w:t>技术    资  信 分</w:t>
            </w:r>
          </w:p>
          <w:p w14:paraId="3A08B9CA">
            <w:pPr>
              <w:spacing w:line="36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70</w:t>
            </w:r>
            <w:r>
              <w:rPr>
                <w:rFonts w:hint="eastAsia" w:ascii="宋体" w:hAnsi="宋体" w:eastAsia="宋体" w:cs="宋体"/>
                <w:sz w:val="24"/>
                <w:szCs w:val="24"/>
              </w:rPr>
              <w:t>分）</w:t>
            </w:r>
          </w:p>
        </w:tc>
        <w:tc>
          <w:tcPr>
            <w:tcW w:w="1276" w:type="dxa"/>
            <w:noWrap w:val="0"/>
            <w:vAlign w:val="center"/>
          </w:tcPr>
          <w:p w14:paraId="2C5BAD5F">
            <w:pPr>
              <w:spacing w:line="36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资质</w:t>
            </w:r>
          </w:p>
          <w:p w14:paraId="51BC0CF3">
            <w:pPr>
              <w:spacing w:line="36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c>
          <w:tcPr>
            <w:tcW w:w="4394" w:type="dxa"/>
            <w:noWrap w:val="0"/>
            <w:vAlign w:val="top"/>
          </w:tcPr>
          <w:p w14:paraId="0E3DF0BE">
            <w:pPr>
              <w:rPr>
                <w:rFonts w:hint="eastAsia" w:ascii="宋体" w:hAnsi="宋体" w:eastAsia="宋体" w:cs="宋体"/>
                <w:sz w:val="24"/>
                <w:szCs w:val="24"/>
              </w:rPr>
            </w:pPr>
          </w:p>
          <w:p w14:paraId="6414FFD3">
            <w:pPr>
              <w:spacing w:line="360" w:lineRule="exact"/>
              <w:rPr>
                <w:rFonts w:hint="eastAsia" w:ascii="宋体" w:hAnsi="宋体" w:eastAsia="宋体" w:cs="宋体"/>
                <w:sz w:val="24"/>
                <w:szCs w:val="24"/>
              </w:rPr>
            </w:pPr>
            <w:r>
              <w:rPr>
                <w:rFonts w:hint="eastAsia" w:ascii="宋体" w:hAnsi="宋体" w:eastAsia="宋体" w:cs="宋体"/>
                <w:sz w:val="24"/>
                <w:szCs w:val="24"/>
              </w:rPr>
              <w:t>1.供应商获得中国标准创新贡献奖（项目奖、组织奖和个人奖均予以认可）的得</w:t>
            </w:r>
            <w:r>
              <w:rPr>
                <w:rFonts w:hint="eastAsia" w:ascii="宋体" w:hAnsi="宋体" w:eastAsia="宋体" w:cs="宋体"/>
                <w:sz w:val="24"/>
                <w:szCs w:val="24"/>
                <w:lang w:val="en-US" w:eastAsia="zh-CN"/>
              </w:rPr>
              <w:t>5</w:t>
            </w:r>
            <w:r>
              <w:rPr>
                <w:rFonts w:hint="eastAsia" w:ascii="宋体" w:hAnsi="宋体" w:eastAsia="宋体" w:cs="宋体"/>
                <w:sz w:val="24"/>
                <w:szCs w:val="24"/>
              </w:rPr>
              <w:t>分。</w:t>
            </w:r>
          </w:p>
          <w:p w14:paraId="461A36E8">
            <w:pPr>
              <w:spacing w:line="360" w:lineRule="exact"/>
              <w:rPr>
                <w:rFonts w:hint="eastAsia" w:ascii="宋体" w:hAnsi="宋体" w:eastAsia="宋体" w:cs="宋体"/>
                <w:sz w:val="24"/>
                <w:szCs w:val="24"/>
              </w:rPr>
            </w:pPr>
            <w:r>
              <w:rPr>
                <w:rFonts w:hint="eastAsia" w:ascii="宋体" w:hAnsi="宋体" w:eastAsia="宋体" w:cs="宋体"/>
                <w:sz w:val="24"/>
                <w:szCs w:val="24"/>
              </w:rPr>
              <w:t>2. 供应商获得安徽省标准创新贡献奖（项目奖、组织奖和个人奖均予以认可）的得</w:t>
            </w:r>
            <w:r>
              <w:rPr>
                <w:rFonts w:hint="eastAsia" w:ascii="宋体" w:hAnsi="宋体" w:eastAsia="宋体" w:cs="宋体"/>
                <w:sz w:val="24"/>
                <w:szCs w:val="24"/>
                <w:lang w:val="en-US" w:eastAsia="zh-CN"/>
              </w:rPr>
              <w:t>3</w:t>
            </w:r>
            <w:r>
              <w:rPr>
                <w:rFonts w:hint="eastAsia" w:ascii="宋体" w:hAnsi="宋体" w:eastAsia="宋体" w:cs="宋体"/>
                <w:sz w:val="24"/>
                <w:szCs w:val="24"/>
              </w:rPr>
              <w:t>分。</w:t>
            </w:r>
          </w:p>
          <w:p w14:paraId="485ACCF5">
            <w:pPr>
              <w:spacing w:line="360" w:lineRule="exact"/>
              <w:rPr>
                <w:rFonts w:hint="eastAsia" w:ascii="宋体" w:hAnsi="宋体" w:eastAsia="宋体" w:cs="宋体"/>
                <w:sz w:val="24"/>
                <w:szCs w:val="24"/>
              </w:rPr>
            </w:pPr>
            <w:r>
              <w:rPr>
                <w:rFonts w:hint="eastAsia" w:ascii="宋体" w:hAnsi="宋体" w:eastAsia="宋体" w:cs="宋体"/>
                <w:sz w:val="24"/>
                <w:szCs w:val="24"/>
              </w:rPr>
              <w:t>注：响应文件中须提供获奖证书、批复、颁奖单位颁奖文件、网上公示截图（具有其中之一即可）；项目奖须同时提供项目成果关键页电子版或扫描件，如以上材料未能体现供应商名称则需提供作者在供应商处缴纳的社保证明材料（近3个月以来任意一个月）；个人奖须同时提供获奖人在供应商处缴纳的社保证明材料（近3个月以来任意一个月），未提供或提供不全的不得分。</w:t>
            </w:r>
          </w:p>
        </w:tc>
        <w:tc>
          <w:tcPr>
            <w:tcW w:w="1468" w:type="dxa"/>
            <w:noWrap w:val="0"/>
            <w:vAlign w:val="center"/>
          </w:tcPr>
          <w:p w14:paraId="64BD4389">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8</w:t>
            </w:r>
            <w:r>
              <w:rPr>
                <w:rFonts w:hint="eastAsia" w:ascii="宋体" w:hAnsi="宋体" w:eastAsia="宋体" w:cs="宋体"/>
                <w:sz w:val="24"/>
                <w:szCs w:val="24"/>
              </w:rPr>
              <w:t>分</w:t>
            </w:r>
          </w:p>
        </w:tc>
      </w:tr>
      <w:tr w14:paraId="49F48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4" w:type="dxa"/>
            <w:vMerge w:val="continue"/>
            <w:noWrap w:val="0"/>
            <w:vAlign w:val="top"/>
          </w:tcPr>
          <w:p w14:paraId="5CCCC13F">
            <w:pPr>
              <w:spacing w:line="360" w:lineRule="exact"/>
              <w:rPr>
                <w:rFonts w:hint="eastAsia" w:ascii="宋体" w:hAnsi="宋体" w:eastAsia="宋体" w:cs="宋体"/>
                <w:sz w:val="24"/>
                <w:szCs w:val="24"/>
              </w:rPr>
            </w:pPr>
          </w:p>
        </w:tc>
        <w:tc>
          <w:tcPr>
            <w:tcW w:w="1276" w:type="dxa"/>
            <w:noWrap w:val="0"/>
            <w:vAlign w:val="center"/>
          </w:tcPr>
          <w:p w14:paraId="3A4C7B65">
            <w:pPr>
              <w:spacing w:line="360" w:lineRule="exact"/>
              <w:rPr>
                <w:rFonts w:hint="eastAsia" w:ascii="宋体" w:hAnsi="宋体" w:eastAsia="宋体" w:cs="宋体"/>
                <w:sz w:val="24"/>
                <w:szCs w:val="24"/>
              </w:rPr>
            </w:pPr>
            <w:r>
              <w:rPr>
                <w:rFonts w:hint="eastAsia" w:ascii="宋体" w:hAnsi="宋体" w:eastAsia="宋体" w:cs="宋体"/>
                <w:sz w:val="24"/>
                <w:szCs w:val="24"/>
              </w:rPr>
              <w:t>服务方案（20分）</w:t>
            </w:r>
          </w:p>
        </w:tc>
        <w:tc>
          <w:tcPr>
            <w:tcW w:w="4394" w:type="dxa"/>
            <w:noWrap w:val="0"/>
            <w:vAlign w:val="top"/>
          </w:tcPr>
          <w:p w14:paraId="1DC9C2A7">
            <w:pPr>
              <w:spacing w:line="360" w:lineRule="exact"/>
              <w:rPr>
                <w:rFonts w:hint="eastAsia" w:ascii="宋体" w:hAnsi="宋体" w:eastAsia="宋体" w:cs="宋体"/>
                <w:sz w:val="24"/>
                <w:szCs w:val="24"/>
              </w:rPr>
            </w:pPr>
            <w:r>
              <w:rPr>
                <w:rFonts w:hint="eastAsia" w:ascii="宋体" w:hAnsi="宋体" w:eastAsia="宋体" w:cs="宋体"/>
                <w:sz w:val="24"/>
                <w:szCs w:val="24"/>
              </w:rPr>
              <w:t>对采购人标准编制服务</w:t>
            </w:r>
            <w:r>
              <w:rPr>
                <w:rFonts w:hint="eastAsia" w:ascii="宋体" w:hAnsi="宋体" w:cs="宋体"/>
                <w:sz w:val="24"/>
                <w:szCs w:val="24"/>
                <w:lang w:val="en-US" w:eastAsia="zh-CN"/>
              </w:rPr>
              <w:t>需求</w:t>
            </w:r>
            <w:r>
              <w:rPr>
                <w:rFonts w:hint="eastAsia" w:ascii="宋体" w:hAnsi="宋体" w:eastAsia="宋体" w:cs="宋体"/>
                <w:sz w:val="24"/>
                <w:szCs w:val="24"/>
              </w:rPr>
              <w:t>提出了完整的、合理的和可行的服务方案。</w:t>
            </w:r>
          </w:p>
          <w:p w14:paraId="4F92F994">
            <w:pPr>
              <w:spacing w:line="360" w:lineRule="exact"/>
              <w:rPr>
                <w:rFonts w:hint="eastAsia" w:ascii="宋体" w:hAnsi="宋体" w:eastAsia="宋体" w:cs="宋体"/>
                <w:sz w:val="24"/>
                <w:szCs w:val="24"/>
              </w:rPr>
            </w:pPr>
            <w:r>
              <w:rPr>
                <w:rFonts w:hint="eastAsia" w:ascii="宋体" w:hAnsi="宋体"/>
                <w:color w:val="000000"/>
                <w:sz w:val="24"/>
                <w:lang w:val="en-US" w:eastAsia="zh-CN"/>
              </w:rPr>
              <w:t>服务</w:t>
            </w:r>
            <w:r>
              <w:rPr>
                <w:rFonts w:ascii="宋体" w:hAnsi="宋体"/>
                <w:color w:val="000000"/>
                <w:sz w:val="24"/>
              </w:rPr>
              <w:t>方案完整、</w:t>
            </w:r>
            <w:r>
              <w:rPr>
                <w:rFonts w:hint="eastAsia" w:ascii="宋体" w:hAnsi="宋体"/>
                <w:color w:val="000000"/>
                <w:sz w:val="24"/>
                <w:lang w:val="en-US" w:eastAsia="zh-CN"/>
              </w:rPr>
              <w:t>合理、</w:t>
            </w:r>
            <w:r>
              <w:rPr>
                <w:rFonts w:ascii="宋体" w:hAnsi="宋体"/>
                <w:color w:val="000000"/>
                <w:sz w:val="24"/>
              </w:rPr>
              <w:t>针对性强的得</w:t>
            </w: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-2</w:t>
            </w:r>
            <w:r>
              <w:rPr>
                <w:rFonts w:hint="eastAsia" w:ascii="宋体" w:hAnsi="宋体" w:eastAsia="宋体" w:cs="宋体"/>
                <w:sz w:val="24"/>
                <w:szCs w:val="24"/>
                <w:lang w:val="en-US" w:eastAsia="zh-CN"/>
              </w:rPr>
              <w:t>0</w:t>
            </w:r>
            <w:r>
              <w:rPr>
                <w:rFonts w:hint="eastAsia" w:ascii="宋体" w:hAnsi="宋体" w:eastAsia="宋体" w:cs="宋体"/>
                <w:sz w:val="24"/>
                <w:szCs w:val="24"/>
              </w:rPr>
              <w:t>分</w:t>
            </w:r>
            <w:r>
              <w:rPr>
                <w:rFonts w:hint="eastAsia" w:ascii="宋体" w:hAnsi="宋体"/>
                <w:color w:val="000000"/>
                <w:sz w:val="24"/>
              </w:rPr>
              <w:t>，</w:t>
            </w:r>
            <w:r>
              <w:rPr>
                <w:rFonts w:ascii="宋体" w:hAnsi="宋体"/>
                <w:color w:val="000000"/>
                <w:sz w:val="24"/>
              </w:rPr>
              <w:t>细节上</w:t>
            </w:r>
            <w:r>
              <w:rPr>
                <w:rFonts w:hint="eastAsia" w:ascii="宋体" w:hAnsi="宋体"/>
                <w:color w:val="000000"/>
                <w:sz w:val="24"/>
              </w:rPr>
              <w:t>略有欠缺的得</w:t>
            </w:r>
            <w:r>
              <w:rPr>
                <w:rFonts w:hint="eastAsia" w:ascii="宋体" w:hAnsi="宋体" w:cs="宋体"/>
                <w:sz w:val="24"/>
                <w:szCs w:val="24"/>
                <w:lang w:val="en-US" w:eastAsia="zh-CN"/>
              </w:rPr>
              <w:t>8</w:t>
            </w: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分</w:t>
            </w:r>
            <w:r>
              <w:rPr>
                <w:rFonts w:ascii="宋体" w:hAnsi="宋体"/>
                <w:color w:val="000000"/>
                <w:sz w:val="24"/>
              </w:rPr>
              <w:t>；方案基本完整、针对性</w:t>
            </w:r>
            <w:r>
              <w:rPr>
                <w:rFonts w:hint="eastAsia" w:ascii="宋体" w:hAnsi="宋体"/>
                <w:color w:val="000000"/>
                <w:sz w:val="24"/>
              </w:rPr>
              <w:t>略有欠缺的</w:t>
            </w:r>
            <w:r>
              <w:rPr>
                <w:rFonts w:ascii="宋体" w:hAnsi="宋体"/>
                <w:color w:val="000000"/>
                <w:sz w:val="24"/>
              </w:rPr>
              <w:t>得</w:t>
            </w:r>
            <w:r>
              <w:rPr>
                <w:rFonts w:hint="eastAsia" w:ascii="宋体" w:hAnsi="宋体" w:eastAsia="宋体" w:cs="宋体"/>
                <w:sz w:val="24"/>
                <w:szCs w:val="24"/>
              </w:rPr>
              <w:t>5-</w:t>
            </w:r>
            <w:r>
              <w:rPr>
                <w:rFonts w:hint="eastAsia" w:ascii="宋体" w:hAnsi="宋体" w:cs="宋体"/>
                <w:sz w:val="24"/>
                <w:szCs w:val="24"/>
                <w:lang w:val="en-US" w:eastAsia="zh-CN"/>
              </w:rPr>
              <w:t>7</w:t>
            </w:r>
            <w:r>
              <w:rPr>
                <w:rFonts w:hint="eastAsia" w:ascii="宋体" w:hAnsi="宋体" w:eastAsia="宋体" w:cs="宋体"/>
                <w:sz w:val="24"/>
                <w:szCs w:val="24"/>
              </w:rPr>
              <w:t>分</w:t>
            </w:r>
            <w:r>
              <w:rPr>
                <w:rFonts w:hint="eastAsia" w:ascii="宋体" w:hAnsi="宋体"/>
                <w:color w:val="000000"/>
                <w:sz w:val="24"/>
              </w:rPr>
              <w:t>，</w:t>
            </w:r>
            <w:r>
              <w:rPr>
                <w:rFonts w:ascii="宋体" w:hAnsi="宋体"/>
                <w:color w:val="000000"/>
                <w:sz w:val="24"/>
              </w:rPr>
              <w:t>方案基本完整、可操作性和针对性</w:t>
            </w:r>
            <w:r>
              <w:rPr>
                <w:rFonts w:hint="eastAsia" w:ascii="宋体" w:hAnsi="宋体"/>
                <w:color w:val="000000"/>
                <w:sz w:val="24"/>
              </w:rPr>
              <w:t>上都</w:t>
            </w:r>
            <w:r>
              <w:rPr>
                <w:rFonts w:ascii="宋体" w:hAnsi="宋体"/>
                <w:color w:val="000000"/>
                <w:sz w:val="24"/>
              </w:rPr>
              <w:t>有欠缺的得</w:t>
            </w:r>
            <w:r>
              <w:rPr>
                <w:rFonts w:hint="eastAsia" w:ascii="宋体" w:hAnsi="宋体"/>
                <w:color w:val="000000"/>
                <w:sz w:val="24"/>
                <w:lang w:val="en-US" w:eastAsia="zh-CN"/>
              </w:rPr>
              <w:t>4</w:t>
            </w:r>
            <w:r>
              <w:rPr>
                <w:rFonts w:ascii="宋体" w:hAnsi="宋体"/>
                <w:color w:val="000000"/>
                <w:sz w:val="24"/>
              </w:rPr>
              <w:t>分</w:t>
            </w:r>
            <w:r>
              <w:rPr>
                <w:rFonts w:hint="eastAsia" w:ascii="宋体" w:hAnsi="宋体" w:eastAsia="宋体" w:cs="宋体"/>
                <w:sz w:val="24"/>
                <w:szCs w:val="24"/>
              </w:rPr>
              <w:t>（含）以下</w:t>
            </w:r>
            <w:r>
              <w:rPr>
                <w:rFonts w:ascii="宋体" w:hAnsi="宋体"/>
                <w:color w:val="000000"/>
                <w:sz w:val="24"/>
              </w:rPr>
              <w:t>；方案不符合或不</w:t>
            </w:r>
            <w:r>
              <w:rPr>
                <w:rFonts w:hint="eastAsia" w:ascii="宋体" w:hAnsi="宋体"/>
                <w:color w:val="000000"/>
                <w:sz w:val="24"/>
              </w:rPr>
              <w:t>合理</w:t>
            </w:r>
            <w:r>
              <w:rPr>
                <w:rFonts w:ascii="宋体" w:hAnsi="宋体"/>
                <w:color w:val="000000"/>
                <w:sz w:val="24"/>
              </w:rPr>
              <w:t>的</w:t>
            </w:r>
            <w:r>
              <w:rPr>
                <w:rFonts w:hint="eastAsia" w:ascii="宋体" w:hAnsi="宋体"/>
                <w:color w:val="000000"/>
                <w:sz w:val="24"/>
              </w:rPr>
              <w:t>不</w:t>
            </w:r>
            <w:r>
              <w:rPr>
                <w:rFonts w:ascii="宋体" w:hAnsi="宋体"/>
                <w:color w:val="000000"/>
                <w:sz w:val="24"/>
              </w:rPr>
              <w:t>得</w:t>
            </w:r>
            <w:r>
              <w:rPr>
                <w:rFonts w:hint="eastAsia" w:ascii="宋体" w:hAnsi="宋体"/>
                <w:color w:val="000000"/>
                <w:sz w:val="24"/>
              </w:rPr>
              <w:t>分。</w:t>
            </w:r>
          </w:p>
        </w:tc>
        <w:tc>
          <w:tcPr>
            <w:tcW w:w="1468" w:type="dxa"/>
            <w:noWrap w:val="0"/>
            <w:vAlign w:val="center"/>
          </w:tcPr>
          <w:p w14:paraId="7DC6A98F">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0-2</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r>
      <w:tr w14:paraId="5AC9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Merge w:val="continue"/>
            <w:noWrap w:val="0"/>
            <w:vAlign w:val="top"/>
          </w:tcPr>
          <w:p w14:paraId="7A9BB4F8">
            <w:pPr>
              <w:spacing w:line="360" w:lineRule="exact"/>
              <w:rPr>
                <w:rFonts w:hint="eastAsia" w:ascii="宋体" w:hAnsi="宋体" w:eastAsia="宋体" w:cs="宋体"/>
                <w:sz w:val="24"/>
                <w:szCs w:val="24"/>
              </w:rPr>
            </w:pPr>
          </w:p>
        </w:tc>
        <w:tc>
          <w:tcPr>
            <w:tcW w:w="1276" w:type="dxa"/>
            <w:noWrap w:val="0"/>
            <w:vAlign w:val="center"/>
          </w:tcPr>
          <w:p w14:paraId="4BA413C8">
            <w:pPr>
              <w:spacing w:line="360" w:lineRule="exact"/>
              <w:rPr>
                <w:rFonts w:hint="eastAsia" w:ascii="宋体" w:hAnsi="宋体" w:eastAsia="宋体" w:cs="宋体"/>
                <w:sz w:val="24"/>
                <w:szCs w:val="24"/>
              </w:rPr>
            </w:pPr>
            <w:r>
              <w:rPr>
                <w:rFonts w:hint="eastAsia" w:ascii="宋体" w:hAnsi="宋体" w:eastAsia="宋体" w:cs="宋体"/>
                <w:sz w:val="24"/>
                <w:szCs w:val="24"/>
              </w:rPr>
              <w:t>服务团队</w:t>
            </w:r>
          </w:p>
          <w:p w14:paraId="1D266B2F">
            <w:pPr>
              <w:spacing w:line="360" w:lineRule="exact"/>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分）</w:t>
            </w:r>
          </w:p>
        </w:tc>
        <w:tc>
          <w:tcPr>
            <w:tcW w:w="4394" w:type="dxa"/>
            <w:noWrap w:val="0"/>
            <w:vAlign w:val="top"/>
          </w:tcPr>
          <w:p w14:paraId="56BA4F39">
            <w:pPr>
              <w:numPr>
                <w:ilvl w:val="0"/>
                <w:numId w:val="0"/>
              </w:numPr>
              <w:spacing w:line="360" w:lineRule="exact"/>
              <w:ind w:leftChars="0"/>
              <w:rPr>
                <w:rFonts w:hint="eastAsia" w:ascii="宋体" w:hAnsi="宋体" w:eastAsia="宋体" w:cs="宋体"/>
                <w:sz w:val="24"/>
                <w:szCs w:val="24"/>
                <w:lang w:eastAsia="zh-CN"/>
              </w:rPr>
            </w:pPr>
            <w:r>
              <w:rPr>
                <w:rFonts w:hint="eastAsia" w:ascii="宋体" w:hAnsi="宋体" w:cs="宋体"/>
                <w:kern w:val="0"/>
                <w:sz w:val="24"/>
                <w:highlight w:val="none"/>
                <w:lang w:bidi="ar"/>
              </w:rPr>
              <w:t>拟为本项目配备的项目组成人员</w:t>
            </w:r>
          </w:p>
          <w:p w14:paraId="4B8B489F">
            <w:pPr>
              <w:numPr>
                <w:ilvl w:val="0"/>
                <w:numId w:val="4"/>
              </w:numPr>
              <w:spacing w:line="360" w:lineRule="exact"/>
              <w:rPr>
                <w:rFonts w:hint="eastAsia"/>
              </w:rPr>
            </w:pPr>
            <w:r>
              <w:rPr>
                <w:rFonts w:hint="eastAsia" w:ascii="宋体" w:hAnsi="宋体" w:eastAsia="宋体" w:cs="宋体"/>
                <w:sz w:val="24"/>
                <w:szCs w:val="24"/>
                <w:lang w:val="en-US" w:eastAsia="zh-CN"/>
              </w:rPr>
              <w:t>项目组成员具</w:t>
            </w:r>
            <w:r>
              <w:rPr>
                <w:rFonts w:hint="eastAsia" w:ascii="宋体" w:hAnsi="宋体" w:eastAsia="宋体" w:cs="宋体"/>
                <w:sz w:val="24"/>
                <w:szCs w:val="24"/>
              </w:rPr>
              <w:t>有副高及以上职称标准化工程师的，每人得</w:t>
            </w:r>
            <w:r>
              <w:rPr>
                <w:rFonts w:hint="eastAsia" w:ascii="宋体" w:hAnsi="宋体" w:eastAsia="宋体" w:cs="宋体"/>
                <w:sz w:val="24"/>
                <w:szCs w:val="24"/>
                <w:lang w:val="en-US" w:eastAsia="zh-CN"/>
              </w:rPr>
              <w:t>3</w:t>
            </w:r>
            <w:r>
              <w:rPr>
                <w:rFonts w:hint="eastAsia" w:ascii="宋体" w:hAnsi="宋体" w:eastAsia="宋体" w:cs="宋体"/>
                <w:sz w:val="24"/>
                <w:szCs w:val="24"/>
              </w:rPr>
              <w:t>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654D6F36">
            <w:pPr>
              <w:numPr>
                <w:ilvl w:val="0"/>
                <w:numId w:val="4"/>
              </w:num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项目组成员具</w:t>
            </w:r>
            <w:r>
              <w:rPr>
                <w:rFonts w:hint="eastAsia" w:ascii="宋体" w:hAnsi="宋体" w:eastAsia="宋体" w:cs="宋体"/>
                <w:sz w:val="24"/>
                <w:szCs w:val="24"/>
              </w:rPr>
              <w:t>有中级标准化工程师的，每人得2分，最多得</w:t>
            </w:r>
            <w:r>
              <w:rPr>
                <w:rFonts w:hint="eastAsia" w:ascii="宋体" w:hAnsi="宋体" w:eastAsia="宋体" w:cs="宋体"/>
                <w:sz w:val="24"/>
                <w:szCs w:val="24"/>
                <w:lang w:val="en-US" w:eastAsia="zh-CN"/>
              </w:rPr>
              <w:t>6</w:t>
            </w:r>
            <w:r>
              <w:rPr>
                <w:rFonts w:hint="eastAsia" w:ascii="宋体" w:hAnsi="宋体" w:eastAsia="宋体" w:cs="宋体"/>
                <w:sz w:val="24"/>
                <w:szCs w:val="24"/>
              </w:rPr>
              <w:t>分；</w:t>
            </w:r>
          </w:p>
          <w:p w14:paraId="00DF266B">
            <w:pPr>
              <w:numPr>
                <w:ilvl w:val="0"/>
                <w:numId w:val="4"/>
              </w:numPr>
              <w:spacing w:line="360" w:lineRule="exact"/>
              <w:rPr>
                <w:rFonts w:hint="eastAsia" w:ascii="宋体" w:hAnsi="宋体" w:eastAsia="宋体" w:cs="宋体"/>
                <w:sz w:val="24"/>
                <w:szCs w:val="24"/>
              </w:rPr>
            </w:pPr>
            <w:r>
              <w:rPr>
                <w:rFonts w:hint="eastAsia" w:ascii="宋体" w:hAnsi="宋体" w:eastAsia="宋体" w:cs="宋体"/>
                <w:sz w:val="24"/>
                <w:szCs w:val="24"/>
                <w:lang w:val="en-US" w:eastAsia="zh-CN"/>
              </w:rPr>
              <w:t>项目组成员</w:t>
            </w:r>
            <w:r>
              <w:rPr>
                <w:rFonts w:hint="eastAsia" w:ascii="宋体" w:hAnsi="宋体" w:eastAsia="宋体" w:cs="宋体"/>
                <w:sz w:val="24"/>
                <w:szCs w:val="24"/>
              </w:rPr>
              <w:t>担任全国专业标准化技术委员会或分技术委员会委员的得</w:t>
            </w:r>
            <w:r>
              <w:rPr>
                <w:rFonts w:hint="eastAsia" w:ascii="宋体" w:hAnsi="宋体" w:cs="宋体"/>
                <w:sz w:val="24"/>
                <w:szCs w:val="24"/>
                <w:lang w:val="en-US" w:eastAsia="zh-CN"/>
              </w:rPr>
              <w:t>3</w:t>
            </w:r>
            <w:r>
              <w:rPr>
                <w:rFonts w:hint="eastAsia" w:ascii="宋体" w:hAnsi="宋体" w:eastAsia="宋体" w:cs="宋体"/>
                <w:sz w:val="24"/>
                <w:szCs w:val="24"/>
              </w:rPr>
              <w:t>分，最多得</w:t>
            </w:r>
            <w:r>
              <w:rPr>
                <w:rFonts w:hint="eastAsia" w:ascii="宋体" w:hAnsi="宋体" w:cs="宋体"/>
                <w:sz w:val="24"/>
                <w:szCs w:val="24"/>
                <w:lang w:val="en-US" w:eastAsia="zh-CN"/>
              </w:rPr>
              <w:t>6</w:t>
            </w:r>
            <w:r>
              <w:rPr>
                <w:rFonts w:hint="eastAsia" w:ascii="宋体" w:hAnsi="宋体" w:eastAsia="宋体" w:cs="宋体"/>
                <w:sz w:val="24"/>
                <w:szCs w:val="24"/>
              </w:rPr>
              <w:t>分，没有不得分。</w:t>
            </w:r>
          </w:p>
          <w:p w14:paraId="52AC7BFF">
            <w:pPr>
              <w:spacing w:line="360" w:lineRule="exact"/>
              <w:ind w:left="165"/>
              <w:rPr>
                <w:rFonts w:hint="eastAsia" w:ascii="宋体" w:hAnsi="宋体" w:eastAsia="宋体" w:cs="宋体"/>
                <w:sz w:val="24"/>
                <w:szCs w:val="24"/>
              </w:rPr>
            </w:pPr>
            <w:r>
              <w:rPr>
                <w:rFonts w:hint="eastAsia" w:ascii="宋体" w:hAnsi="宋体" w:eastAsia="宋体" w:cs="宋体"/>
                <w:sz w:val="24"/>
                <w:szCs w:val="24"/>
              </w:rPr>
              <w:t>注：响应文件中同时提供：</w:t>
            </w:r>
          </w:p>
          <w:p w14:paraId="18739CD7">
            <w:pPr>
              <w:spacing w:line="360" w:lineRule="exact"/>
              <w:rPr>
                <w:rFonts w:hint="eastAsia" w:ascii="宋体" w:hAnsi="宋体" w:eastAsia="宋体" w:cs="宋体"/>
                <w:sz w:val="24"/>
                <w:szCs w:val="24"/>
              </w:rPr>
            </w:pPr>
            <w:r>
              <w:rPr>
                <w:rFonts w:hint="eastAsia" w:ascii="宋体" w:hAnsi="宋体" w:eastAsia="宋体" w:cs="宋体"/>
                <w:sz w:val="24"/>
                <w:szCs w:val="24"/>
              </w:rPr>
              <w:t>（1）人员名单（格式自拟），同一人员具有多个证书可累计；</w:t>
            </w:r>
          </w:p>
          <w:p w14:paraId="39DEFC90">
            <w:pPr>
              <w:spacing w:line="360" w:lineRule="exact"/>
              <w:rPr>
                <w:rFonts w:hint="eastAsia" w:ascii="宋体" w:hAnsi="宋体" w:eastAsia="宋体" w:cs="宋体"/>
                <w:sz w:val="24"/>
                <w:szCs w:val="24"/>
              </w:rPr>
            </w:pPr>
            <w:r>
              <w:rPr>
                <w:rFonts w:hint="eastAsia" w:ascii="宋体" w:hAnsi="宋体" w:eastAsia="宋体" w:cs="宋体"/>
                <w:sz w:val="24"/>
                <w:szCs w:val="24"/>
              </w:rPr>
              <w:t>（2）职称证书扫描件或全国专业标准化技术委员会信息公示系统官网查询截图；</w:t>
            </w:r>
          </w:p>
          <w:p w14:paraId="25E54B3A">
            <w:pPr>
              <w:spacing w:line="360" w:lineRule="exact"/>
              <w:rPr>
                <w:rFonts w:hint="eastAsia" w:ascii="宋体" w:hAnsi="宋体" w:eastAsia="宋体" w:cs="宋体"/>
                <w:sz w:val="24"/>
                <w:szCs w:val="24"/>
              </w:rPr>
            </w:pPr>
            <w:r>
              <w:rPr>
                <w:rFonts w:hint="eastAsia" w:ascii="宋体" w:hAnsi="宋体" w:eastAsia="宋体" w:cs="宋体"/>
                <w:sz w:val="24"/>
                <w:szCs w:val="24"/>
              </w:rPr>
              <w:t>（3）若职称证书上单位名称与供应商名称不一致则需提供持证人在供应商处缴纳的社保证明材料（近3个月以来任意一个月）。</w:t>
            </w:r>
          </w:p>
        </w:tc>
        <w:tc>
          <w:tcPr>
            <w:tcW w:w="1468" w:type="dxa"/>
            <w:noWrap w:val="0"/>
            <w:vAlign w:val="center"/>
          </w:tcPr>
          <w:p w14:paraId="1B4C6DD0">
            <w:pPr>
              <w:spacing w:line="360" w:lineRule="exact"/>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ascii="宋体" w:hAnsi="宋体" w:eastAsia="宋体" w:cs="宋体"/>
                <w:sz w:val="24"/>
                <w:szCs w:val="24"/>
                <w:lang w:val="en-US" w:eastAsia="zh-CN"/>
              </w:rPr>
              <w:t>1</w:t>
            </w:r>
            <w:r>
              <w:rPr>
                <w:rFonts w:hint="eastAsia" w:ascii="宋体" w:hAnsi="宋体" w:cs="宋体"/>
                <w:sz w:val="24"/>
                <w:szCs w:val="24"/>
                <w:lang w:val="en-US" w:eastAsia="zh-CN"/>
              </w:rPr>
              <w:t>8</w:t>
            </w:r>
            <w:r>
              <w:rPr>
                <w:rFonts w:hint="eastAsia" w:ascii="宋体" w:hAnsi="宋体" w:eastAsia="宋体" w:cs="宋体"/>
                <w:sz w:val="24"/>
                <w:szCs w:val="24"/>
              </w:rPr>
              <w:t>分</w:t>
            </w:r>
          </w:p>
        </w:tc>
      </w:tr>
      <w:tr w14:paraId="6709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vMerge w:val="continue"/>
            <w:noWrap w:val="0"/>
            <w:vAlign w:val="top"/>
          </w:tcPr>
          <w:p w14:paraId="008EE683">
            <w:pPr>
              <w:spacing w:line="340" w:lineRule="exact"/>
              <w:rPr>
                <w:rFonts w:hint="eastAsia" w:ascii="宋体" w:hAnsi="宋体" w:eastAsia="宋体" w:cs="宋体"/>
                <w:sz w:val="24"/>
                <w:szCs w:val="24"/>
              </w:rPr>
            </w:pPr>
          </w:p>
        </w:tc>
        <w:tc>
          <w:tcPr>
            <w:tcW w:w="1276" w:type="dxa"/>
            <w:noWrap w:val="0"/>
            <w:vAlign w:val="center"/>
          </w:tcPr>
          <w:p w14:paraId="35CEFA3D">
            <w:pPr>
              <w:spacing w:line="340" w:lineRule="exact"/>
              <w:rPr>
                <w:rFonts w:hint="eastAsia" w:ascii="宋体" w:hAnsi="宋体" w:eastAsia="宋体" w:cs="宋体"/>
                <w:sz w:val="24"/>
                <w:szCs w:val="24"/>
              </w:rPr>
            </w:pPr>
            <w:r>
              <w:rPr>
                <w:rFonts w:hint="eastAsia" w:ascii="宋体" w:hAnsi="宋体" w:eastAsia="宋体" w:cs="宋体"/>
                <w:sz w:val="24"/>
                <w:szCs w:val="24"/>
              </w:rPr>
              <w:t>供应商业绩</w:t>
            </w:r>
          </w:p>
          <w:p w14:paraId="4F142C42">
            <w:pPr>
              <w:spacing w:line="340" w:lineRule="exact"/>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4</w:t>
            </w:r>
            <w:r>
              <w:rPr>
                <w:rFonts w:hint="eastAsia" w:ascii="宋体" w:hAnsi="宋体" w:eastAsia="宋体" w:cs="宋体"/>
                <w:sz w:val="24"/>
                <w:szCs w:val="24"/>
              </w:rPr>
              <w:t>分）</w:t>
            </w:r>
          </w:p>
        </w:tc>
        <w:tc>
          <w:tcPr>
            <w:tcW w:w="4394" w:type="dxa"/>
            <w:noWrap w:val="0"/>
            <w:vAlign w:val="top"/>
          </w:tcPr>
          <w:p w14:paraId="18801414">
            <w:pPr>
              <w:spacing w:line="340" w:lineRule="exact"/>
              <w:rPr>
                <w:rFonts w:hint="eastAsia" w:ascii="宋体" w:hAnsi="宋体" w:eastAsia="宋体" w:cs="宋体"/>
                <w:sz w:val="24"/>
                <w:szCs w:val="24"/>
              </w:rPr>
            </w:pPr>
            <w:r>
              <w:rPr>
                <w:rFonts w:hint="eastAsia" w:ascii="宋体" w:hAnsi="宋体" w:eastAsia="宋体" w:cs="宋体"/>
                <w:sz w:val="24"/>
                <w:szCs w:val="24"/>
              </w:rPr>
              <w:t>自202</w:t>
            </w:r>
            <w:r>
              <w:rPr>
                <w:rFonts w:hint="eastAsia" w:ascii="宋体" w:hAnsi="宋体" w:eastAsia="宋体" w:cs="宋体"/>
                <w:sz w:val="24"/>
                <w:szCs w:val="24"/>
                <w:lang w:val="en-US" w:eastAsia="zh-CN"/>
              </w:rPr>
              <w:t>1</w:t>
            </w:r>
            <w:r>
              <w:rPr>
                <w:rFonts w:hint="eastAsia" w:ascii="宋体" w:hAnsi="宋体" w:eastAsia="宋体" w:cs="宋体"/>
                <w:sz w:val="24"/>
                <w:szCs w:val="24"/>
              </w:rPr>
              <w:t>年1月1日以来（标准制修订以标准发布时间为准，供应商具有主导（或参与）标准制修订业绩的：</w:t>
            </w:r>
          </w:p>
          <w:p w14:paraId="0D6D9C3D">
            <w:pPr>
              <w:spacing w:line="340" w:lineRule="exact"/>
              <w:rPr>
                <w:rFonts w:hint="eastAsia" w:ascii="宋体" w:hAnsi="宋体" w:eastAsia="宋体" w:cs="宋体"/>
                <w:sz w:val="24"/>
                <w:szCs w:val="24"/>
              </w:rPr>
            </w:pPr>
            <w:r>
              <w:rPr>
                <w:rFonts w:hint="eastAsia" w:ascii="宋体" w:hAnsi="宋体" w:eastAsia="宋体" w:cs="宋体"/>
                <w:sz w:val="24"/>
                <w:szCs w:val="24"/>
              </w:rPr>
              <w:t>（1）国家标准，每提供1个得4分；</w:t>
            </w:r>
          </w:p>
          <w:p w14:paraId="182141B7">
            <w:pPr>
              <w:pStyle w:val="2"/>
              <w:ind w:firstLine="0" w:firstLineChars="0"/>
              <w:rPr>
                <w:rFonts w:hint="eastAsia" w:ascii="宋体" w:hAnsi="宋体" w:eastAsia="宋体" w:cs="宋体"/>
                <w:sz w:val="24"/>
                <w:szCs w:val="24"/>
              </w:rPr>
            </w:pPr>
            <w:r>
              <w:rPr>
                <w:rFonts w:hint="eastAsia" w:ascii="宋体" w:hAnsi="宋体" w:eastAsia="宋体" w:cs="宋体"/>
                <w:sz w:val="24"/>
                <w:szCs w:val="24"/>
              </w:rPr>
              <w:t>（2）行业标准，每提供1个得3分；</w:t>
            </w:r>
          </w:p>
          <w:p w14:paraId="4ACA5DA1">
            <w:pPr>
              <w:spacing w:line="340" w:lineRule="exact"/>
              <w:rPr>
                <w:rFonts w:hint="eastAsia" w:ascii="宋体" w:hAnsi="宋体" w:eastAsia="宋体" w:cs="宋体"/>
                <w:sz w:val="24"/>
                <w:szCs w:val="24"/>
              </w:rPr>
            </w:pPr>
            <w:r>
              <w:rPr>
                <w:rFonts w:hint="eastAsia" w:ascii="宋体" w:hAnsi="宋体" w:eastAsia="宋体" w:cs="宋体"/>
                <w:sz w:val="24"/>
                <w:szCs w:val="24"/>
              </w:rPr>
              <w:t>（3）省级地方标准，每提供1个得2分；</w:t>
            </w:r>
          </w:p>
          <w:p w14:paraId="43AC6AF7">
            <w:pPr>
              <w:spacing w:line="340" w:lineRule="exact"/>
              <w:rPr>
                <w:rFonts w:hint="eastAsia" w:ascii="宋体" w:hAnsi="宋体" w:eastAsia="宋体" w:cs="宋体"/>
                <w:sz w:val="24"/>
                <w:szCs w:val="24"/>
              </w:rPr>
            </w:pPr>
            <w:r>
              <w:rPr>
                <w:rFonts w:hint="eastAsia" w:ascii="宋体" w:hAnsi="宋体" w:eastAsia="宋体" w:cs="宋体"/>
                <w:sz w:val="24"/>
                <w:szCs w:val="24"/>
              </w:rPr>
              <w:t>本项最</w:t>
            </w:r>
            <w:bookmarkStart w:id="3" w:name="_GoBack"/>
            <w:bookmarkEnd w:id="3"/>
            <w:r>
              <w:rPr>
                <w:rFonts w:hint="eastAsia" w:ascii="宋体" w:hAnsi="宋体" w:eastAsia="宋体" w:cs="宋体"/>
                <w:sz w:val="24"/>
                <w:szCs w:val="24"/>
              </w:rPr>
              <w:t>多得2</w:t>
            </w:r>
            <w:r>
              <w:rPr>
                <w:rFonts w:hint="eastAsia" w:ascii="宋体" w:hAnsi="宋体" w:cs="宋体"/>
                <w:sz w:val="24"/>
                <w:szCs w:val="24"/>
                <w:lang w:val="en-US" w:eastAsia="zh-CN"/>
              </w:rPr>
              <w:t>4</w:t>
            </w:r>
            <w:r>
              <w:rPr>
                <w:rFonts w:hint="eastAsia" w:ascii="宋体" w:hAnsi="宋体" w:eastAsia="宋体" w:cs="宋体"/>
                <w:sz w:val="24"/>
                <w:szCs w:val="24"/>
              </w:rPr>
              <w:t>分。</w:t>
            </w:r>
          </w:p>
          <w:p w14:paraId="2A441AD6">
            <w:pPr>
              <w:spacing w:line="340" w:lineRule="exact"/>
              <w:rPr>
                <w:rFonts w:hint="eastAsia" w:ascii="宋体" w:hAnsi="宋体" w:eastAsia="宋体" w:cs="宋体"/>
                <w:sz w:val="24"/>
                <w:szCs w:val="24"/>
              </w:rPr>
            </w:pPr>
            <w:r>
              <w:rPr>
                <w:rFonts w:hint="eastAsia" w:ascii="宋体" w:hAnsi="宋体" w:eastAsia="宋体" w:cs="宋体"/>
                <w:sz w:val="24"/>
                <w:szCs w:val="24"/>
              </w:rPr>
              <w:t>注：1.以上业绩中所提的业绩包括：制修订国家标准、行业标准、省级地方标准。</w:t>
            </w:r>
          </w:p>
          <w:p w14:paraId="50A1B6B4">
            <w:pPr>
              <w:spacing w:line="340" w:lineRule="exact"/>
              <w:rPr>
                <w:rFonts w:hint="eastAsia" w:ascii="宋体" w:hAnsi="宋体" w:eastAsia="宋体" w:cs="宋体"/>
                <w:sz w:val="24"/>
                <w:szCs w:val="24"/>
              </w:rPr>
            </w:pPr>
            <w:r>
              <w:rPr>
                <w:rFonts w:hint="eastAsia" w:ascii="宋体" w:hAnsi="宋体" w:eastAsia="宋体" w:cs="宋体"/>
                <w:sz w:val="24"/>
                <w:szCs w:val="24"/>
              </w:rPr>
              <w:t>2.响应文件中须提供业绩的证明材料 （制修订标准项目须提供标准的关键页电子版或扫描件），否则不得分。如以上材料未能体现供应商名称则需提供作者在供应商处缴纳的社保证明材料 （近3个月以来任意一个月）。</w:t>
            </w:r>
          </w:p>
        </w:tc>
        <w:tc>
          <w:tcPr>
            <w:tcW w:w="1468" w:type="dxa"/>
            <w:noWrap w:val="0"/>
            <w:vAlign w:val="center"/>
          </w:tcPr>
          <w:p w14:paraId="3E79D510">
            <w:pPr>
              <w:spacing w:line="340" w:lineRule="exact"/>
              <w:jc w:val="center"/>
              <w:rPr>
                <w:rFonts w:hint="eastAsia" w:ascii="宋体" w:hAnsi="宋体" w:eastAsia="宋体" w:cs="宋体"/>
                <w:sz w:val="24"/>
                <w:szCs w:val="24"/>
              </w:rPr>
            </w:pPr>
            <w:r>
              <w:rPr>
                <w:rFonts w:hint="eastAsia" w:ascii="宋体" w:hAnsi="宋体" w:eastAsia="宋体" w:cs="宋体"/>
                <w:sz w:val="24"/>
                <w:szCs w:val="24"/>
              </w:rPr>
              <w:t>0-2</w:t>
            </w:r>
            <w:r>
              <w:rPr>
                <w:rFonts w:hint="eastAsia" w:ascii="宋体" w:hAnsi="宋体" w:cs="宋体"/>
                <w:sz w:val="24"/>
                <w:szCs w:val="24"/>
                <w:lang w:val="en-US" w:eastAsia="zh-CN"/>
              </w:rPr>
              <w:t>4</w:t>
            </w:r>
            <w:r>
              <w:rPr>
                <w:rFonts w:hint="eastAsia" w:ascii="宋体" w:hAnsi="宋体" w:eastAsia="宋体" w:cs="宋体"/>
                <w:sz w:val="24"/>
                <w:szCs w:val="24"/>
              </w:rPr>
              <w:t>分</w:t>
            </w:r>
          </w:p>
        </w:tc>
      </w:tr>
      <w:tr w14:paraId="07B65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4" w:type="dxa"/>
            <w:noWrap w:val="0"/>
            <w:vAlign w:val="top"/>
          </w:tcPr>
          <w:p w14:paraId="455B3D5A">
            <w:pPr>
              <w:spacing w:line="340" w:lineRule="exact"/>
              <w:rPr>
                <w:rFonts w:hint="eastAsia" w:ascii="宋体" w:hAnsi="宋体" w:eastAsia="宋体" w:cs="宋体"/>
                <w:sz w:val="24"/>
                <w:szCs w:val="24"/>
              </w:rPr>
            </w:pPr>
            <w:r>
              <w:rPr>
                <w:rFonts w:hint="eastAsia" w:ascii="宋体" w:hAnsi="宋体" w:eastAsia="宋体" w:cs="宋体"/>
                <w:sz w:val="24"/>
                <w:szCs w:val="24"/>
              </w:rPr>
              <w:t>价格分（</w:t>
            </w:r>
            <w:r>
              <w:rPr>
                <w:rFonts w:hint="eastAsia" w:ascii="宋体" w:hAnsi="宋体" w:eastAsia="宋体" w:cs="宋体"/>
                <w:sz w:val="24"/>
                <w:szCs w:val="24"/>
                <w:lang w:val="en-US" w:eastAsia="zh-CN"/>
              </w:rPr>
              <w:t>30</w:t>
            </w:r>
            <w:r>
              <w:rPr>
                <w:rFonts w:hint="eastAsia" w:ascii="宋体" w:hAnsi="宋体" w:eastAsia="宋体" w:cs="宋体"/>
                <w:sz w:val="24"/>
                <w:szCs w:val="24"/>
              </w:rPr>
              <w:t>）</w:t>
            </w:r>
          </w:p>
        </w:tc>
        <w:tc>
          <w:tcPr>
            <w:tcW w:w="7138" w:type="dxa"/>
            <w:gridSpan w:val="3"/>
            <w:noWrap w:val="0"/>
            <w:vAlign w:val="top"/>
          </w:tcPr>
          <w:p w14:paraId="251BE2C8">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价格分统一采用低价优先法，即满足招标文件要求且价格最低的最后报价为评标基准价，其价格分为满分</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0分。其他投标人的价格分统一按照下列公式计算：</w:t>
            </w:r>
          </w:p>
          <w:p w14:paraId="2645183F">
            <w:pPr>
              <w:spacing w:line="340" w:lineRule="exact"/>
              <w:rPr>
                <w:rFonts w:hint="eastAsia" w:ascii="宋体" w:hAnsi="宋体" w:eastAsia="宋体" w:cs="宋体"/>
                <w:sz w:val="24"/>
                <w:szCs w:val="24"/>
              </w:rPr>
            </w:pPr>
            <w:r>
              <w:rPr>
                <w:rFonts w:hint="eastAsia" w:ascii="宋体" w:hAnsi="宋体" w:eastAsia="宋体" w:cs="宋体"/>
                <w:sz w:val="24"/>
                <w:szCs w:val="24"/>
                <w:highlight w:val="none"/>
              </w:rPr>
              <w:t>最后报价得分＝（评标基准价/最后报价）×</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0%×100</w:t>
            </w:r>
          </w:p>
        </w:tc>
      </w:tr>
    </w:tbl>
    <w:p w14:paraId="28CC0E89">
      <w:pPr>
        <w:pStyle w:val="9"/>
        <w:spacing w:line="360" w:lineRule="auto"/>
        <w:ind w:right="381"/>
        <w:jc w:val="both"/>
        <w:rPr>
          <w:rFonts w:hint="eastAsia"/>
          <w:highlight w:val="none"/>
        </w:rPr>
      </w:pPr>
    </w:p>
    <w:p w14:paraId="7E4D2157">
      <w:pPr>
        <w:pStyle w:val="9"/>
        <w:spacing w:line="360" w:lineRule="auto"/>
        <w:ind w:right="381" w:firstLine="482" w:firstLineChars="200"/>
        <w:jc w:val="both"/>
        <w:rPr>
          <w:highlight w:val="none"/>
        </w:rPr>
      </w:pPr>
      <w:r>
        <w:rPr>
          <w:rFonts w:hint="eastAsia"/>
          <w:highlight w:val="none"/>
        </w:rPr>
        <w:t>注：以上涉及资质、资格、证书、证明材料等资料投标文件中均须提供证明材料。投</w:t>
      </w:r>
      <w:r>
        <w:rPr>
          <w:rFonts w:hint="eastAsia"/>
          <w:spacing w:val="-5"/>
          <w:highlight w:val="none"/>
        </w:rPr>
        <w:t>标人必须对其投标时提供的有关资料的真实性负责，一旦查出有弄虚作假行为，将不予退还</w:t>
      </w:r>
      <w:r>
        <w:rPr>
          <w:rFonts w:hint="eastAsia"/>
          <w:highlight w:val="none"/>
        </w:rPr>
        <w:t>其投标保证金，并按有关法律法规处理。</w:t>
      </w:r>
    </w:p>
    <w:p w14:paraId="039B8F2F">
      <w:pPr>
        <w:autoSpaceDE w:val="0"/>
        <w:autoSpaceDN w:val="0"/>
        <w:adjustRightInd w:val="0"/>
        <w:snapToGrid w:val="0"/>
        <w:spacing w:line="324" w:lineRule="auto"/>
        <w:rPr>
          <w:rFonts w:ascii="宋体" w:hAnsi="宋体" w:eastAsia="宋体" w:cs="Times New Roman"/>
          <w:kern w:val="0"/>
          <w:sz w:val="24"/>
          <w:szCs w:val="24"/>
          <w:highlight w:val="none"/>
        </w:rPr>
      </w:pPr>
    </w:p>
    <w:p w14:paraId="74092BD9">
      <w:pPr>
        <w:autoSpaceDE w:val="0"/>
        <w:autoSpaceDN w:val="0"/>
        <w:adjustRightInd w:val="0"/>
        <w:snapToGrid w:val="0"/>
        <w:spacing w:line="324" w:lineRule="auto"/>
        <w:rPr>
          <w:rFonts w:ascii="宋体" w:hAnsi="宋体" w:eastAsia="宋体" w:cs="Times New Roman"/>
          <w:sz w:val="24"/>
          <w:szCs w:val="24"/>
          <w:highlight w:val="none"/>
        </w:rPr>
      </w:pPr>
    </w:p>
    <w:p w14:paraId="51B1D417">
      <w:pPr>
        <w:autoSpaceDE w:val="0"/>
        <w:autoSpaceDN w:val="0"/>
        <w:adjustRightInd w:val="0"/>
        <w:snapToGrid w:val="0"/>
        <w:spacing w:line="324" w:lineRule="auto"/>
        <w:rPr>
          <w:rFonts w:ascii="宋体" w:hAnsi="宋体" w:eastAsia="宋体" w:cs="Times New Roman"/>
          <w:kern w:val="0"/>
          <w:sz w:val="24"/>
          <w:szCs w:val="24"/>
          <w:highlight w:val="none"/>
        </w:rPr>
      </w:pPr>
    </w:p>
    <w:p w14:paraId="7FE34EC9">
      <w:pPr>
        <w:spacing w:line="360" w:lineRule="auto"/>
        <w:rPr>
          <w:highlight w:val="none"/>
        </w:rPr>
      </w:pPr>
    </w:p>
    <w:p w14:paraId="44AE52FB"/>
    <w:sectPr>
      <w:pgSz w:w="12240" w:h="15840"/>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auto"/>
    <w:pitch w:val="default"/>
    <w:sig w:usb0="00000000" w:usb1="00000000" w:usb2="000A005E"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F03B1"/>
    <w:multiLevelType w:val="singleLevel"/>
    <w:tmpl w:val="9C8F03B1"/>
    <w:lvl w:ilvl="0" w:tentative="0">
      <w:start w:val="1"/>
      <w:numFmt w:val="decimal"/>
      <w:suff w:val="nothing"/>
      <w:lvlText w:val="%1、"/>
      <w:lvlJc w:val="left"/>
    </w:lvl>
  </w:abstractNum>
  <w:abstractNum w:abstractNumId="1">
    <w:nsid w:val="B2200620"/>
    <w:multiLevelType w:val="singleLevel"/>
    <w:tmpl w:val="B2200620"/>
    <w:lvl w:ilvl="0" w:tentative="0">
      <w:start w:val="3"/>
      <w:numFmt w:val="chineseCounting"/>
      <w:suff w:val="nothing"/>
      <w:lvlText w:val="%1、"/>
      <w:lvlJc w:val="left"/>
      <w:rPr>
        <w:rFonts w:hint="eastAsia"/>
      </w:rPr>
    </w:lvl>
  </w:abstractNum>
  <w:abstractNum w:abstractNumId="2">
    <w:nsid w:val="058157BA"/>
    <w:multiLevelType w:val="multilevel"/>
    <w:tmpl w:val="058157B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8"/>
      <w:lvlText w:val="%1.%2.%3.%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lef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left"/>
      <w:pPr>
        <w:ind w:left="0" w:firstLine="0"/>
      </w:pPr>
      <w:rPr>
        <w:rFonts w:hint="eastAsia"/>
      </w:rPr>
    </w:lvl>
  </w:abstractNum>
  <w:abstractNum w:abstractNumId="3">
    <w:nsid w:val="29222804"/>
    <w:multiLevelType w:val="multilevel"/>
    <w:tmpl w:val="29222804"/>
    <w:lvl w:ilvl="0" w:tentative="0">
      <w:start w:val="1"/>
      <w:numFmt w:val="decimal"/>
      <w:lvlText w:val="%1."/>
      <w:lvlJc w:val="left"/>
      <w:pPr>
        <w:ind w:left="165" w:hanging="16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ZTE5ODU1ZmM2MTlhMGI5NDUxYzFiYWNjODA1ZDMifQ=="/>
  </w:docVars>
  <w:rsids>
    <w:rsidRoot w:val="00000000"/>
    <w:rsid w:val="073321CB"/>
    <w:rsid w:val="0C965FE6"/>
    <w:rsid w:val="10F20D97"/>
    <w:rsid w:val="12990A14"/>
    <w:rsid w:val="135C0D09"/>
    <w:rsid w:val="14DF5994"/>
    <w:rsid w:val="167A1468"/>
    <w:rsid w:val="17435EA8"/>
    <w:rsid w:val="1C3C07FD"/>
    <w:rsid w:val="1E480248"/>
    <w:rsid w:val="219B2D93"/>
    <w:rsid w:val="231F61B9"/>
    <w:rsid w:val="24E011DB"/>
    <w:rsid w:val="26BF5FDB"/>
    <w:rsid w:val="285846C4"/>
    <w:rsid w:val="2D0465C3"/>
    <w:rsid w:val="3013798C"/>
    <w:rsid w:val="30492A6C"/>
    <w:rsid w:val="3199774C"/>
    <w:rsid w:val="34AB1128"/>
    <w:rsid w:val="36160EBA"/>
    <w:rsid w:val="46F22A19"/>
    <w:rsid w:val="492B7D0C"/>
    <w:rsid w:val="49E23F2D"/>
    <w:rsid w:val="4C607C4A"/>
    <w:rsid w:val="52644C89"/>
    <w:rsid w:val="52B508CE"/>
    <w:rsid w:val="559A1513"/>
    <w:rsid w:val="59245D88"/>
    <w:rsid w:val="5AB147B4"/>
    <w:rsid w:val="5FBF1411"/>
    <w:rsid w:val="63586D45"/>
    <w:rsid w:val="65FC4A48"/>
    <w:rsid w:val="674A652B"/>
    <w:rsid w:val="6DCD4847"/>
    <w:rsid w:val="6F35349E"/>
    <w:rsid w:val="709F6B8F"/>
    <w:rsid w:val="745343BD"/>
    <w:rsid w:val="77FA6B5F"/>
    <w:rsid w:val="797177C8"/>
    <w:rsid w:val="7B5C1297"/>
    <w:rsid w:val="7B6D7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3"/>
    <w:basedOn w:val="1"/>
    <w:next w:val="7"/>
    <w:qFormat/>
    <w:uiPriority w:val="0"/>
    <w:pPr>
      <w:keepNext/>
      <w:keepLines/>
      <w:autoSpaceDE w:val="0"/>
      <w:autoSpaceDN w:val="0"/>
      <w:adjustRightInd w:val="0"/>
      <w:spacing w:before="360" w:after="120"/>
      <w:jc w:val="left"/>
      <w:outlineLvl w:val="2"/>
    </w:pPr>
    <w:rPr>
      <w:b/>
      <w:bCs/>
      <w:kern w:val="0"/>
      <w:sz w:val="32"/>
      <w:szCs w:val="32"/>
    </w:rPr>
  </w:style>
  <w:style w:type="paragraph" w:styleId="8">
    <w:name w:val="heading 4"/>
    <w:basedOn w:val="1"/>
    <w:next w:val="1"/>
    <w:qFormat/>
    <w:uiPriority w:val="0"/>
    <w:pPr>
      <w:keepNext/>
      <w:keepLines/>
      <w:numPr>
        <w:ilvl w:val="3"/>
        <w:numId w:val="1"/>
      </w:numPr>
      <w:tabs>
        <w:tab w:val="left" w:pos="864"/>
      </w:tab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ind w:firstLine="645"/>
    </w:pPr>
    <w:rPr>
      <w:rFonts w:ascii="楷体_GB2312" w:eastAsia="楷体_GB2312"/>
      <w:sz w:val="32"/>
    </w:rPr>
  </w:style>
  <w:style w:type="paragraph" w:styleId="4">
    <w:name w:val="envelope return"/>
    <w:basedOn w:val="1"/>
    <w:qFormat/>
    <w:uiPriority w:val="99"/>
    <w:rPr>
      <w:rFonts w:ascii="Arial" w:hAnsi="Arial" w:cs="Arial"/>
      <w:kern w:val="1"/>
    </w:rPr>
  </w:style>
  <w:style w:type="paragraph" w:styleId="7">
    <w:name w:val="Normal Indent"/>
    <w:basedOn w:val="1"/>
    <w:qFormat/>
    <w:uiPriority w:val="0"/>
    <w:pPr>
      <w:autoSpaceDE w:val="0"/>
      <w:autoSpaceDN w:val="0"/>
      <w:adjustRightInd w:val="0"/>
      <w:ind w:firstLine="420"/>
      <w:jc w:val="left"/>
    </w:pPr>
    <w:rPr>
      <w:rFonts w:ascii="宋体"/>
      <w:kern w:val="0"/>
      <w:sz w:val="24"/>
      <w:szCs w:val="20"/>
    </w:rPr>
  </w:style>
  <w:style w:type="paragraph" w:styleId="9">
    <w:name w:val="Body Text"/>
    <w:basedOn w:val="1"/>
    <w:qFormat/>
    <w:uiPriority w:val="0"/>
    <w:pPr>
      <w:spacing w:line="360" w:lineRule="auto"/>
    </w:pPr>
    <w:rPr>
      <w:b/>
      <w:bCs/>
      <w:sz w:val="24"/>
    </w:rPr>
  </w:style>
  <w:style w:type="paragraph" w:styleId="10">
    <w:name w:val="footnote text"/>
    <w:basedOn w:val="1"/>
    <w:qFormat/>
    <w:uiPriority w:val="99"/>
    <w:pPr>
      <w:snapToGrid w:val="0"/>
      <w:jc w:val="left"/>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customStyle="1" w:styleId="14">
    <w:name w:val="2nd"/>
    <w:basedOn w:val="8"/>
    <w:qFormat/>
    <w:uiPriority w:val="0"/>
    <w:pPr>
      <w:numPr>
        <w:ilvl w:val="3"/>
        <w:numId w:val="0"/>
      </w:numPr>
      <w:spacing w:before="156" w:after="156" w:line="240" w:lineRule="auto"/>
      <w:contextualSpacing/>
      <w:jc w:val="left"/>
    </w:pPr>
    <w:rPr>
      <w:rFonts w:ascii="宋体" w:hAnsi="宋体" w:eastAsia="宋体" w:cs="Arial"/>
      <w:iCs/>
      <w:kern w:val="0"/>
      <w:sz w:val="32"/>
      <w:szCs w:val="24"/>
      <w:lang w:val="en-GB" w:eastAsia="zh-CN"/>
    </w:rPr>
  </w:style>
  <w:style w:type="paragraph" w:customStyle="1" w:styleId="15">
    <w:name w:val="null3"/>
    <w:qFormat/>
    <w:uiPriority w:val="0"/>
    <w:rPr>
      <w:rFonts w:hint="eastAsia" w:ascii="Calibri" w:hAnsi="Calibri" w:eastAsia="宋体" w:cs="Times New Roman"/>
      <w:lang w:val="en-US" w:eastAsia="zh-Hans"/>
    </w:rPr>
  </w:style>
  <w:style w:type="paragraph" w:customStyle="1" w:styleId="16">
    <w:name w:val="正文文本1"/>
    <w:basedOn w:val="1"/>
    <w:qFormat/>
    <w:uiPriority w:val="0"/>
    <w:pPr>
      <w:adjustRightInd w:val="0"/>
      <w:spacing w:line="315" w:lineRule="atLeast"/>
      <w:jc w:val="left"/>
      <w:textAlignment w:val="baseline"/>
    </w:pPr>
    <w:rPr>
      <w:rFonts w:ascii="仿宋_GB2312" w:hAnsi="Calibri" w:eastAsia="仿宋_GB2312"/>
      <w:kern w:val="0"/>
      <w:sz w:val="28"/>
      <w:szCs w:val="20"/>
    </w:rPr>
  </w:style>
  <w:style w:type="paragraph" w:customStyle="1" w:styleId="17">
    <w:name w:val="Table Paragraph"/>
    <w:basedOn w:val="1"/>
    <w:qFormat/>
    <w:uiPriority w:val="1"/>
    <w:pPr>
      <w:jc w:val="left"/>
    </w:pPr>
    <w:rPr>
      <w:rFonts w:ascii="宋体" w:hAnsi="宋体" w:eastAsia="宋体" w:cs="宋体"/>
      <w:kern w:val="0"/>
      <w:sz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2459</Words>
  <Characters>2516</Characters>
  <Lines>0</Lines>
  <Paragraphs>0</Paragraphs>
  <TotalTime>1103</TotalTime>
  <ScaleCrop>false</ScaleCrop>
  <LinksUpToDate>false</LinksUpToDate>
  <CharactersWithSpaces>2539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2024-07-30T00:21:00Z</dcterms:created>
  <dc:creator>Administrator</dc:creator>
  <cp:lastModifiedBy>张树梅</cp:lastModifiedBy>
  <dcterms:modified xsi:type="dcterms:W3CDTF">2024-08-23T01:27:59Z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C70901C45BDD4EFCAA8E3FDB13ABB6D8_12</vt:lpwstr>
  </property>
</Properties>
</file>