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8E" w:rsidRPr="008F738E" w:rsidRDefault="008F738E" w:rsidP="008F738E">
      <w:pPr>
        <w:jc w:val="center"/>
        <w:rPr>
          <w:rFonts w:ascii="宋体" w:eastAsia="宋体" w:hAnsi="宋体"/>
          <w:b/>
          <w:sz w:val="28"/>
          <w:szCs w:val="28"/>
        </w:rPr>
      </w:pPr>
      <w:r w:rsidRPr="008F738E">
        <w:rPr>
          <w:rFonts w:ascii="宋体" w:eastAsia="宋体" w:hAnsi="宋体" w:hint="eastAsia"/>
          <w:b/>
          <w:sz w:val="28"/>
          <w:szCs w:val="28"/>
        </w:rPr>
        <w:t>5</w:t>
      </w:r>
      <w:r w:rsidRPr="008F738E">
        <w:rPr>
          <w:rFonts w:ascii="宋体" w:eastAsia="宋体" w:hAnsi="宋体"/>
          <w:b/>
          <w:sz w:val="28"/>
          <w:szCs w:val="28"/>
        </w:rPr>
        <w:t>6.</w:t>
      </w:r>
      <w:r w:rsidRPr="008F738E">
        <w:rPr>
          <w:rFonts w:ascii="宋体" w:eastAsia="宋体" w:hAnsi="宋体" w:hint="eastAsia"/>
          <w:b/>
          <w:sz w:val="28"/>
          <w:szCs w:val="28"/>
        </w:rPr>
        <w:t>超声引导下羊膜腔穿刺（双胎）模型技术参数</w:t>
      </w:r>
    </w:p>
    <w:p w:rsidR="008F738E" w:rsidRPr="00DB0D49" w:rsidRDefault="008F738E" w:rsidP="008F738E">
      <w:pPr>
        <w:jc w:val="center"/>
        <w:rPr>
          <w:b/>
          <w:bCs/>
          <w:sz w:val="24"/>
          <w:szCs w:val="28"/>
        </w:rPr>
      </w:pPr>
      <w:bookmarkStart w:id="0" w:name="_GoBack"/>
      <w:bookmarkEnd w:id="0"/>
    </w:p>
    <w:tbl>
      <w:tblPr>
        <w:tblStyle w:val="a7"/>
        <w:tblW w:w="9498" w:type="dxa"/>
        <w:tblInd w:w="-714" w:type="dxa"/>
        <w:tblLook w:val="04A0" w:firstRow="1" w:lastRow="0" w:firstColumn="1" w:lastColumn="0" w:noHBand="0" w:noVBand="1"/>
      </w:tblPr>
      <w:tblGrid>
        <w:gridCol w:w="851"/>
        <w:gridCol w:w="1985"/>
        <w:gridCol w:w="6662"/>
      </w:tblGrid>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序号</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技术规格</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技术参数</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1</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数量</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1个</w:t>
            </w:r>
          </w:p>
        </w:tc>
      </w:tr>
      <w:tr w:rsidR="008F738E" w:rsidRPr="00DB0D49" w:rsidTr="00B95137">
        <w:trPr>
          <w:trHeight w:hRule="exact" w:val="1431"/>
        </w:trPr>
        <w:tc>
          <w:tcPr>
            <w:tcW w:w="851"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2</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综合描述</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模型</w:t>
            </w:r>
            <w:r>
              <w:rPr>
                <w:rFonts w:ascii="宋体" w:eastAsia="宋体" w:hAnsi="宋体" w:hint="eastAsia"/>
                <w:szCs w:val="21"/>
              </w:rPr>
              <w:t>可</w:t>
            </w:r>
            <w:r w:rsidRPr="00DB0D49">
              <w:rPr>
                <w:rFonts w:ascii="宋体" w:eastAsia="宋体" w:hAnsi="宋体" w:hint="eastAsia"/>
                <w:szCs w:val="21"/>
              </w:rPr>
              <w:t>营造逼真的</w:t>
            </w:r>
            <w:r w:rsidRPr="00DB0D49">
              <w:rPr>
                <w:rFonts w:ascii="宋体" w:eastAsia="宋体" w:hAnsi="宋体"/>
                <w:szCs w:val="21"/>
              </w:rPr>
              <w:t>16周孕妇的腹部、盆腔及外阴解剖结构，内含逼真子宫、羊膜腔、16周异卵双胎胎儿及其胎盘和脐带，羊膜腔内有羊水。可使用任意品牌真实超声设备进行超声引导下羊膜腔穿刺术的穿刺定位、穿刺路径选择、穿刺引导及羊水采样等完整技能训练</w:t>
            </w:r>
          </w:p>
        </w:tc>
      </w:tr>
      <w:tr w:rsidR="008F738E" w:rsidRPr="00DB0D49" w:rsidTr="00B95137">
        <w:trPr>
          <w:trHeight w:hRule="exact" w:val="1125"/>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3</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外部结构</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根据真实成年女性盆腔解剖数据及外形进行设计，表现为孕</w:t>
            </w:r>
            <w:r w:rsidRPr="00DB0D49">
              <w:rPr>
                <w:rFonts w:ascii="宋体" w:eastAsia="宋体" w:hAnsi="宋体"/>
                <w:szCs w:val="21"/>
              </w:rPr>
              <w:t>16周隆起的腹部，呈截石体位摆放，超声探查部位范围是脐上5cm，两侧为髂前上棘直线之间，具有逼真的女性会阴包括大阴唇、小阴唇、阴蒂等</w:t>
            </w:r>
          </w:p>
        </w:tc>
      </w:tr>
      <w:tr w:rsidR="008F738E" w:rsidRPr="00DB0D49" w:rsidTr="00B95137">
        <w:trPr>
          <w:trHeight w:hRule="exact" w:val="844"/>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4</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羊膜腔</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子宫内含</w:t>
            </w:r>
            <w:r w:rsidRPr="00DB0D49">
              <w:rPr>
                <w:rFonts w:ascii="宋体" w:eastAsia="宋体" w:hAnsi="宋体"/>
                <w:szCs w:val="21"/>
              </w:rPr>
              <w:t>2个羊膜腔，每个羊膜腔内有1个16周龄大小胎儿及其胎盘和脐带等附属物；羊膜腔内填充满羊水，脐带在羊膜腔内漂浮</w:t>
            </w:r>
          </w:p>
        </w:tc>
      </w:tr>
      <w:tr w:rsidR="008F738E" w:rsidRPr="00DB0D49" w:rsidTr="00B95137">
        <w:trPr>
          <w:trHeight w:hRule="exact" w:val="114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5</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胎盘</w:t>
            </w:r>
          </w:p>
        </w:tc>
        <w:tc>
          <w:tcPr>
            <w:tcW w:w="6662"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具有</w:t>
            </w:r>
            <w:r w:rsidRPr="00DB0D49">
              <w:rPr>
                <w:rFonts w:ascii="宋体" w:eastAsia="宋体" w:hAnsi="宋体"/>
                <w:szCs w:val="21"/>
              </w:rPr>
              <w:t>1个前壁胎盘，1个侧壁胎盘，超声可探查胎盘位置、胎盘厚度，胎盘大小直径约5—6cm，胎盘厚度约1.5—2cm，每个胎盘分别通过脐带与对应羊膜腔的胎儿腹部脐带入口处相连接</w:t>
            </w:r>
          </w:p>
        </w:tc>
      </w:tr>
      <w:tr w:rsidR="008F738E" w:rsidRPr="00DB0D49" w:rsidTr="00B95137">
        <w:trPr>
          <w:trHeight w:hRule="exact" w:val="1425"/>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6</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胎儿</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超声下可观察到符合孕</w:t>
            </w:r>
            <w:r w:rsidRPr="00DB0D49">
              <w:rPr>
                <w:rFonts w:ascii="宋体" w:eastAsia="宋体" w:hAnsi="宋体"/>
                <w:szCs w:val="21"/>
              </w:rPr>
              <w:t>16周的异卵双胞胎超声图像，包括有中间羊膜囊隔开的两个羊膜腔，胎儿的头臀长约11—12cm，胎儿和脐带在羊膜腔内漂浮。</w:t>
            </w:r>
            <w:r>
              <w:rPr>
                <w:rFonts w:ascii="宋体" w:eastAsia="宋体" w:hAnsi="宋体" w:hint="eastAsia"/>
                <w:szCs w:val="21"/>
              </w:rPr>
              <w:t>可</w:t>
            </w:r>
            <w:r w:rsidRPr="00DB0D49">
              <w:rPr>
                <w:rFonts w:ascii="宋体" w:eastAsia="宋体" w:hAnsi="宋体"/>
                <w:szCs w:val="21"/>
              </w:rPr>
              <w:t>进行孕中期胎儿头围、腹围、股骨长等胎儿发育相关指标测量训练</w:t>
            </w:r>
          </w:p>
        </w:tc>
      </w:tr>
      <w:tr w:rsidR="008F738E" w:rsidRPr="00DB0D49" w:rsidTr="00B95137">
        <w:trPr>
          <w:trHeight w:hRule="exact" w:val="1133"/>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7</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子宫</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模型的子宫的两个羊膜腔内可填充羊水，羊水量可以快速调整。可进行羊水指数测量及评估。通过增加羊水量或减少羊水量多少营造不同难度的操作环境，促进穿刺技能螺旋式上升</w:t>
            </w:r>
          </w:p>
        </w:tc>
      </w:tr>
      <w:tr w:rsidR="008F738E" w:rsidRPr="00DB0D49" w:rsidTr="00B95137">
        <w:trPr>
          <w:trHeight w:hRule="exact" w:val="1702"/>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8</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超声图像</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模型材质具有人体组织类似的声学特性，</w:t>
            </w:r>
            <w:r>
              <w:rPr>
                <w:rFonts w:ascii="宋体" w:eastAsia="宋体" w:hAnsi="宋体" w:hint="eastAsia"/>
                <w:szCs w:val="21"/>
              </w:rPr>
              <w:t>可</w:t>
            </w:r>
            <w:r w:rsidRPr="00DB0D49">
              <w:rPr>
                <w:rFonts w:ascii="宋体" w:eastAsia="宋体" w:hAnsi="宋体" w:hint="eastAsia"/>
                <w:szCs w:val="21"/>
              </w:rPr>
              <w:t>应用腹部凸阵超声探头在腹部上进行探查训练，可以观察到逼真的孕中期</w:t>
            </w:r>
            <w:r w:rsidRPr="00DB0D49">
              <w:rPr>
                <w:rFonts w:ascii="宋体" w:eastAsia="宋体" w:hAnsi="宋体"/>
                <w:szCs w:val="21"/>
              </w:rPr>
              <w:t>16周胎儿异卵双胎的胎儿、胎盘及脐带等超声图像。具有真实的超声回声图像及声衰减参数。可供二维及三维超声探头扫查，可进行超声探查手法训练及超声参数包括景深、增益、图像优化等训练</w:t>
            </w:r>
          </w:p>
        </w:tc>
      </w:tr>
      <w:tr w:rsidR="008F738E" w:rsidRPr="00DB0D49" w:rsidTr="00B95137">
        <w:trPr>
          <w:trHeight w:hRule="exact" w:val="1273"/>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9</w:t>
            </w:r>
          </w:p>
        </w:tc>
        <w:tc>
          <w:tcPr>
            <w:tcW w:w="1985"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其他要求</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可进行超声引导下羊膜腔穿刺术定位及穿刺技巧的教学示范、技能培训等，可以观察在超声引导下穿刺时，羊膜腔穿刺针进针的全程路径及针尖高亮影，可以分别进行两个羊膜腔的穿刺术及羊水采样训练。模型穿刺部位材质具有良好的自我修复性，耐受反复穿刺训练操作</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1</w:t>
            </w:r>
            <w:r>
              <w:rPr>
                <w:rFonts w:ascii="宋体" w:eastAsia="宋体" w:hAnsi="宋体"/>
                <w:szCs w:val="21"/>
              </w:rPr>
              <w:t>0</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质保期</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整机原厂质保≥1</w:t>
            </w:r>
            <w:r w:rsidRPr="00DB0D49">
              <w:rPr>
                <w:rFonts w:ascii="宋体" w:eastAsia="宋体" w:hAnsi="宋体"/>
                <w:szCs w:val="21"/>
              </w:rPr>
              <w:t>年</w:t>
            </w:r>
          </w:p>
        </w:tc>
      </w:tr>
    </w:tbl>
    <w:p w:rsidR="00DD4A47" w:rsidRDefault="00DD4A47"/>
    <w:p w:rsidR="008F738E" w:rsidRDefault="008F738E"/>
    <w:p w:rsidR="008F738E" w:rsidRDefault="008F738E"/>
    <w:p w:rsidR="008F738E" w:rsidRPr="008F738E" w:rsidRDefault="008F738E" w:rsidP="008F738E">
      <w:pPr>
        <w:jc w:val="center"/>
        <w:rPr>
          <w:rFonts w:ascii="宋体" w:eastAsia="宋体" w:hAnsi="宋体"/>
          <w:b/>
          <w:sz w:val="28"/>
          <w:szCs w:val="28"/>
        </w:rPr>
      </w:pPr>
      <w:r w:rsidRPr="008F738E">
        <w:rPr>
          <w:rFonts w:ascii="宋体" w:eastAsia="宋体" w:hAnsi="宋体"/>
          <w:b/>
          <w:sz w:val="28"/>
          <w:szCs w:val="28"/>
        </w:rPr>
        <w:lastRenderedPageBreak/>
        <w:t>57.</w:t>
      </w:r>
      <w:r w:rsidRPr="008F738E">
        <w:rPr>
          <w:rFonts w:ascii="宋体" w:eastAsia="宋体" w:hAnsi="宋体"/>
          <w:b/>
          <w:sz w:val="28"/>
          <w:szCs w:val="28"/>
        </w:rPr>
        <w:t>4k便携式激光投影</w:t>
      </w:r>
      <w:r w:rsidRPr="008F738E">
        <w:rPr>
          <w:rFonts w:ascii="宋体" w:eastAsia="宋体" w:hAnsi="宋体" w:hint="eastAsia"/>
          <w:b/>
          <w:sz w:val="28"/>
          <w:szCs w:val="28"/>
        </w:rPr>
        <w:t>技术参数</w:t>
      </w:r>
    </w:p>
    <w:p w:rsidR="008F738E" w:rsidRPr="00DB0D49" w:rsidRDefault="008F738E" w:rsidP="008F738E">
      <w:pPr>
        <w:jc w:val="center"/>
        <w:rPr>
          <w:b/>
          <w:bCs/>
          <w:sz w:val="24"/>
          <w:szCs w:val="28"/>
        </w:rPr>
      </w:pPr>
    </w:p>
    <w:tbl>
      <w:tblPr>
        <w:tblStyle w:val="a7"/>
        <w:tblW w:w="9498" w:type="dxa"/>
        <w:tblInd w:w="-714" w:type="dxa"/>
        <w:tblLook w:val="04A0" w:firstRow="1" w:lastRow="0" w:firstColumn="1" w:lastColumn="0" w:noHBand="0" w:noVBand="1"/>
      </w:tblPr>
      <w:tblGrid>
        <w:gridCol w:w="851"/>
        <w:gridCol w:w="1985"/>
        <w:gridCol w:w="6662"/>
      </w:tblGrid>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序号</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技术规格</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技术参数</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1</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数量</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1</w:t>
            </w:r>
            <w:r>
              <w:rPr>
                <w:rFonts w:ascii="宋体" w:eastAsia="宋体" w:hAnsi="宋体" w:hint="eastAsia"/>
                <w:szCs w:val="21"/>
              </w:rPr>
              <w:t>台</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2</w:t>
            </w:r>
          </w:p>
        </w:tc>
        <w:tc>
          <w:tcPr>
            <w:tcW w:w="1985" w:type="dxa"/>
            <w:vAlign w:val="center"/>
          </w:tcPr>
          <w:p w:rsidR="008F738E" w:rsidRPr="00DB0D49" w:rsidRDefault="008F738E" w:rsidP="00B95137">
            <w:pPr>
              <w:rPr>
                <w:rFonts w:ascii="宋体" w:eastAsia="宋体" w:hAnsi="宋体"/>
                <w:szCs w:val="21"/>
              </w:rPr>
            </w:pPr>
            <w:r w:rsidRPr="009A3D60">
              <w:rPr>
                <w:rFonts w:ascii="宋体" w:eastAsia="宋体" w:hAnsi="宋体"/>
                <w:szCs w:val="21"/>
              </w:rPr>
              <w:t>分辨率</w:t>
            </w:r>
          </w:p>
        </w:tc>
        <w:tc>
          <w:tcPr>
            <w:tcW w:w="6662"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w:t>
            </w:r>
            <w:r w:rsidRPr="009A3D60">
              <w:rPr>
                <w:rFonts w:ascii="宋体" w:eastAsia="宋体" w:hAnsi="宋体"/>
                <w:szCs w:val="21"/>
              </w:rPr>
              <w:t>4096x2160dpi</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3</w:t>
            </w:r>
          </w:p>
        </w:tc>
        <w:tc>
          <w:tcPr>
            <w:tcW w:w="1985" w:type="dxa"/>
            <w:vAlign w:val="center"/>
          </w:tcPr>
          <w:p w:rsidR="008F738E" w:rsidRPr="00DB0D49" w:rsidRDefault="008F738E" w:rsidP="00B95137">
            <w:pPr>
              <w:rPr>
                <w:rFonts w:ascii="宋体" w:eastAsia="宋体" w:hAnsi="宋体"/>
                <w:szCs w:val="21"/>
              </w:rPr>
            </w:pPr>
            <w:r w:rsidRPr="009A3D60">
              <w:rPr>
                <w:rFonts w:ascii="宋体" w:eastAsia="宋体" w:hAnsi="宋体"/>
                <w:szCs w:val="21"/>
              </w:rPr>
              <w:t>光源类型</w:t>
            </w:r>
          </w:p>
        </w:tc>
        <w:tc>
          <w:tcPr>
            <w:tcW w:w="6662" w:type="dxa"/>
            <w:vAlign w:val="center"/>
          </w:tcPr>
          <w:p w:rsidR="008F738E" w:rsidRPr="00DB0D49" w:rsidRDefault="008F738E" w:rsidP="00B95137">
            <w:pPr>
              <w:rPr>
                <w:rFonts w:ascii="宋体" w:eastAsia="宋体" w:hAnsi="宋体"/>
                <w:szCs w:val="21"/>
              </w:rPr>
            </w:pPr>
            <w:r w:rsidRPr="009A3D60">
              <w:rPr>
                <w:rFonts w:ascii="宋体" w:eastAsia="宋体" w:hAnsi="宋体"/>
                <w:szCs w:val="21"/>
              </w:rPr>
              <w:t>三色激光</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4</w:t>
            </w:r>
          </w:p>
        </w:tc>
        <w:tc>
          <w:tcPr>
            <w:tcW w:w="1985" w:type="dxa"/>
            <w:vAlign w:val="center"/>
          </w:tcPr>
          <w:p w:rsidR="008F738E" w:rsidRPr="00DB0D49" w:rsidRDefault="008F738E" w:rsidP="00B95137">
            <w:pPr>
              <w:rPr>
                <w:rFonts w:ascii="宋体" w:eastAsia="宋体" w:hAnsi="宋体"/>
                <w:szCs w:val="21"/>
              </w:rPr>
            </w:pPr>
            <w:r w:rsidRPr="009A3D60">
              <w:rPr>
                <w:rFonts w:ascii="宋体" w:eastAsia="宋体" w:hAnsi="宋体"/>
                <w:szCs w:val="21"/>
              </w:rPr>
              <w:t>画质</w:t>
            </w:r>
          </w:p>
        </w:tc>
        <w:tc>
          <w:tcPr>
            <w:tcW w:w="6662" w:type="dxa"/>
            <w:vAlign w:val="center"/>
          </w:tcPr>
          <w:p w:rsidR="008F738E" w:rsidRPr="00DB0D49" w:rsidRDefault="008F738E" w:rsidP="00B95137">
            <w:pPr>
              <w:rPr>
                <w:rFonts w:ascii="宋体" w:eastAsia="宋体" w:hAnsi="宋体"/>
                <w:szCs w:val="21"/>
              </w:rPr>
            </w:pPr>
            <w:r w:rsidRPr="009A3D60">
              <w:rPr>
                <w:rFonts w:ascii="宋体" w:eastAsia="宋体" w:hAnsi="宋体"/>
                <w:szCs w:val="21"/>
              </w:rPr>
              <w:t>4K无损光源画质</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5</w:t>
            </w:r>
          </w:p>
        </w:tc>
        <w:tc>
          <w:tcPr>
            <w:tcW w:w="1985" w:type="dxa"/>
            <w:vAlign w:val="center"/>
          </w:tcPr>
          <w:p w:rsidR="008F738E" w:rsidRPr="00DB0D49" w:rsidRDefault="008F738E" w:rsidP="00B95137">
            <w:pPr>
              <w:rPr>
                <w:rFonts w:ascii="宋体" w:eastAsia="宋体" w:hAnsi="宋体"/>
                <w:szCs w:val="21"/>
              </w:rPr>
            </w:pPr>
            <w:r w:rsidRPr="009A3D60">
              <w:rPr>
                <w:rFonts w:ascii="宋体" w:eastAsia="宋体" w:hAnsi="宋体" w:hint="eastAsia"/>
                <w:szCs w:val="21"/>
              </w:rPr>
              <w:t>画质比例</w:t>
            </w:r>
          </w:p>
        </w:tc>
        <w:tc>
          <w:tcPr>
            <w:tcW w:w="6662" w:type="dxa"/>
            <w:vAlign w:val="center"/>
          </w:tcPr>
          <w:p w:rsidR="008F738E" w:rsidRPr="00DB0D49" w:rsidRDefault="008F738E" w:rsidP="00B95137">
            <w:pPr>
              <w:rPr>
                <w:rFonts w:ascii="宋体" w:eastAsia="宋体" w:hAnsi="宋体"/>
                <w:szCs w:val="21"/>
              </w:rPr>
            </w:pPr>
            <w:r w:rsidRPr="009A3D60">
              <w:rPr>
                <w:rFonts w:ascii="宋体" w:eastAsia="宋体" w:hAnsi="宋体"/>
                <w:szCs w:val="21"/>
              </w:rPr>
              <w:t>16:9</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6</w:t>
            </w:r>
          </w:p>
        </w:tc>
        <w:tc>
          <w:tcPr>
            <w:tcW w:w="1985" w:type="dxa"/>
            <w:vAlign w:val="center"/>
          </w:tcPr>
          <w:p w:rsidR="008F738E" w:rsidRPr="00DB0D49" w:rsidRDefault="008F738E" w:rsidP="00B95137">
            <w:pPr>
              <w:rPr>
                <w:rFonts w:ascii="宋体" w:eastAsia="宋体" w:hAnsi="宋体"/>
                <w:szCs w:val="21"/>
              </w:rPr>
            </w:pPr>
            <w:r w:rsidRPr="009A3D60">
              <w:rPr>
                <w:rFonts w:ascii="宋体" w:eastAsia="宋体" w:hAnsi="宋体" w:hint="eastAsia"/>
                <w:szCs w:val="21"/>
              </w:rPr>
              <w:t>投影焦距类型</w:t>
            </w:r>
          </w:p>
        </w:tc>
        <w:tc>
          <w:tcPr>
            <w:tcW w:w="6662" w:type="dxa"/>
            <w:vAlign w:val="center"/>
          </w:tcPr>
          <w:p w:rsidR="008F738E" w:rsidRPr="00DB0D49" w:rsidRDefault="008F738E" w:rsidP="00B95137">
            <w:pPr>
              <w:rPr>
                <w:rFonts w:ascii="宋体" w:eastAsia="宋体" w:hAnsi="宋体"/>
                <w:szCs w:val="21"/>
              </w:rPr>
            </w:pPr>
            <w:r w:rsidRPr="009A3D60">
              <w:rPr>
                <w:rFonts w:ascii="宋体" w:eastAsia="宋体" w:hAnsi="宋体" w:hint="eastAsia"/>
                <w:szCs w:val="21"/>
              </w:rPr>
              <w:t>中长焦</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7</w:t>
            </w:r>
          </w:p>
        </w:tc>
        <w:tc>
          <w:tcPr>
            <w:tcW w:w="1985" w:type="dxa"/>
            <w:vAlign w:val="center"/>
          </w:tcPr>
          <w:p w:rsidR="008F738E" w:rsidRPr="00DB0D49" w:rsidRDefault="008F738E" w:rsidP="00B95137">
            <w:pPr>
              <w:rPr>
                <w:rFonts w:ascii="宋体" w:eastAsia="宋体" w:hAnsi="宋体"/>
                <w:szCs w:val="21"/>
              </w:rPr>
            </w:pPr>
            <w:r w:rsidRPr="009A3D60">
              <w:rPr>
                <w:rFonts w:ascii="宋体" w:eastAsia="宋体" w:hAnsi="宋体" w:hint="eastAsia"/>
                <w:szCs w:val="21"/>
              </w:rPr>
              <w:t>投放范围</w:t>
            </w:r>
          </w:p>
        </w:tc>
        <w:tc>
          <w:tcPr>
            <w:tcW w:w="6662" w:type="dxa"/>
            <w:vAlign w:val="center"/>
          </w:tcPr>
          <w:p w:rsidR="008F738E" w:rsidRPr="00DB0D49" w:rsidRDefault="008F738E" w:rsidP="00B95137">
            <w:pPr>
              <w:rPr>
                <w:rFonts w:ascii="宋体" w:eastAsia="宋体" w:hAnsi="宋体"/>
                <w:szCs w:val="21"/>
              </w:rPr>
            </w:pPr>
            <w:r w:rsidRPr="009A3D60">
              <w:rPr>
                <w:rFonts w:ascii="宋体" w:eastAsia="宋体" w:hAnsi="宋体"/>
                <w:szCs w:val="21"/>
              </w:rPr>
              <w:t>30-300英寸</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8</w:t>
            </w:r>
          </w:p>
        </w:tc>
        <w:tc>
          <w:tcPr>
            <w:tcW w:w="1985" w:type="dxa"/>
            <w:vAlign w:val="center"/>
          </w:tcPr>
          <w:p w:rsidR="008F738E" w:rsidRPr="00DB0D49" w:rsidRDefault="008F738E" w:rsidP="00B95137">
            <w:pPr>
              <w:rPr>
                <w:rFonts w:ascii="宋体" w:eastAsia="宋体" w:hAnsi="宋体"/>
                <w:szCs w:val="21"/>
              </w:rPr>
            </w:pPr>
            <w:r w:rsidRPr="009A3D60">
              <w:rPr>
                <w:rFonts w:ascii="宋体" w:eastAsia="宋体" w:hAnsi="宋体" w:hint="eastAsia"/>
                <w:szCs w:val="21"/>
              </w:rPr>
              <w:t>梯形校正范围</w:t>
            </w:r>
          </w:p>
        </w:tc>
        <w:tc>
          <w:tcPr>
            <w:tcW w:w="6662" w:type="dxa"/>
            <w:vAlign w:val="center"/>
          </w:tcPr>
          <w:p w:rsidR="008F738E" w:rsidRPr="00DB0D49" w:rsidRDefault="008F738E" w:rsidP="00B95137">
            <w:pPr>
              <w:rPr>
                <w:rFonts w:ascii="宋体" w:eastAsia="宋体" w:hAnsi="宋体"/>
                <w:szCs w:val="21"/>
              </w:rPr>
            </w:pPr>
            <w:r w:rsidRPr="009A3D60">
              <w:rPr>
                <w:rFonts w:ascii="宋体" w:eastAsia="宋体" w:hAnsi="宋体" w:hint="eastAsia"/>
                <w:szCs w:val="21"/>
              </w:rPr>
              <w:t>四向校正</w:t>
            </w:r>
          </w:p>
        </w:tc>
      </w:tr>
      <w:tr w:rsidR="008F738E" w:rsidRPr="009A3D60"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9</w:t>
            </w:r>
          </w:p>
        </w:tc>
        <w:tc>
          <w:tcPr>
            <w:tcW w:w="1985"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对焦方式</w:t>
            </w:r>
          </w:p>
        </w:tc>
        <w:tc>
          <w:tcPr>
            <w:tcW w:w="6662"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具备</w:t>
            </w:r>
            <w:r w:rsidRPr="009A3D60">
              <w:rPr>
                <w:rFonts w:ascii="宋体" w:eastAsia="宋体" w:hAnsi="宋体"/>
                <w:szCs w:val="21"/>
              </w:rPr>
              <w:t>自动对焦、自动梯形校正</w:t>
            </w:r>
            <w:r>
              <w:rPr>
                <w:rFonts w:ascii="宋体" w:eastAsia="宋体" w:hAnsi="宋体" w:hint="eastAsia"/>
                <w:szCs w:val="21"/>
              </w:rPr>
              <w:t>等</w:t>
            </w:r>
          </w:p>
        </w:tc>
      </w:tr>
      <w:tr w:rsidR="008F738E" w:rsidRPr="009A3D60" w:rsidTr="00B95137">
        <w:trPr>
          <w:trHeight w:hRule="exact" w:val="510"/>
        </w:trPr>
        <w:tc>
          <w:tcPr>
            <w:tcW w:w="851" w:type="dxa"/>
            <w:vAlign w:val="center"/>
          </w:tcPr>
          <w:p w:rsidR="008F738E" w:rsidRPr="00DB0D49" w:rsidRDefault="008F738E" w:rsidP="00B95137">
            <w:pP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985" w:type="dxa"/>
            <w:vAlign w:val="center"/>
          </w:tcPr>
          <w:p w:rsidR="008F738E" w:rsidRDefault="008F738E" w:rsidP="00B95137">
            <w:pPr>
              <w:rPr>
                <w:rFonts w:ascii="宋体" w:eastAsia="宋体" w:hAnsi="宋体"/>
                <w:szCs w:val="21"/>
              </w:rPr>
            </w:pPr>
            <w:r>
              <w:rPr>
                <w:rFonts w:ascii="宋体" w:eastAsia="宋体" w:hAnsi="宋体" w:hint="eastAsia"/>
                <w:szCs w:val="21"/>
              </w:rPr>
              <w:t>安装方式</w:t>
            </w:r>
          </w:p>
        </w:tc>
        <w:tc>
          <w:tcPr>
            <w:tcW w:w="6662" w:type="dxa"/>
            <w:vAlign w:val="center"/>
          </w:tcPr>
          <w:p w:rsidR="008F738E" w:rsidRDefault="008F738E" w:rsidP="00B95137">
            <w:pPr>
              <w:rPr>
                <w:rFonts w:ascii="宋体" w:eastAsia="宋体" w:hAnsi="宋体"/>
                <w:szCs w:val="21"/>
              </w:rPr>
            </w:pPr>
            <w:r w:rsidRPr="009A3D60">
              <w:rPr>
                <w:rFonts w:ascii="宋体" w:eastAsia="宋体" w:hAnsi="宋体"/>
                <w:szCs w:val="21"/>
              </w:rPr>
              <w:t>可吊装</w:t>
            </w:r>
          </w:p>
        </w:tc>
      </w:tr>
      <w:tr w:rsidR="008F738E" w:rsidRPr="00DB0D49" w:rsidTr="00B95137">
        <w:trPr>
          <w:trHeight w:hRule="exact" w:val="510"/>
        </w:trPr>
        <w:tc>
          <w:tcPr>
            <w:tcW w:w="851"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1</w:t>
            </w:r>
            <w:r>
              <w:rPr>
                <w:rFonts w:ascii="宋体" w:eastAsia="宋体" w:hAnsi="宋体"/>
                <w:szCs w:val="21"/>
              </w:rPr>
              <w:t>1</w:t>
            </w:r>
          </w:p>
        </w:tc>
        <w:tc>
          <w:tcPr>
            <w:tcW w:w="1985"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质保期</w:t>
            </w:r>
          </w:p>
        </w:tc>
        <w:tc>
          <w:tcPr>
            <w:tcW w:w="6662" w:type="dxa"/>
            <w:vAlign w:val="center"/>
          </w:tcPr>
          <w:p w:rsidR="008F738E" w:rsidRPr="00DB0D49" w:rsidRDefault="008F738E" w:rsidP="00B95137">
            <w:pPr>
              <w:rPr>
                <w:rFonts w:ascii="宋体" w:eastAsia="宋体" w:hAnsi="宋体"/>
                <w:szCs w:val="21"/>
              </w:rPr>
            </w:pPr>
            <w:r w:rsidRPr="00DB0D49">
              <w:rPr>
                <w:rFonts w:ascii="宋体" w:eastAsia="宋体" w:hAnsi="宋体" w:hint="eastAsia"/>
                <w:szCs w:val="21"/>
              </w:rPr>
              <w:t>整机原厂质保≥1</w:t>
            </w:r>
            <w:r w:rsidRPr="00DB0D49">
              <w:rPr>
                <w:rFonts w:ascii="宋体" w:eastAsia="宋体" w:hAnsi="宋体"/>
                <w:szCs w:val="21"/>
              </w:rPr>
              <w:t>年</w:t>
            </w:r>
          </w:p>
        </w:tc>
      </w:tr>
    </w:tbl>
    <w:p w:rsidR="008F738E" w:rsidRDefault="008F738E">
      <w:pPr>
        <w:rPr>
          <w:rFonts w:hint="eastAsia"/>
        </w:rPr>
      </w:pPr>
    </w:p>
    <w:sectPr w:rsidR="008F73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6F" w:rsidRDefault="0050626F" w:rsidP="008F738E">
      <w:r>
        <w:separator/>
      </w:r>
    </w:p>
  </w:endnote>
  <w:endnote w:type="continuationSeparator" w:id="0">
    <w:p w:rsidR="0050626F" w:rsidRDefault="0050626F" w:rsidP="008F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6F" w:rsidRDefault="0050626F" w:rsidP="008F738E">
      <w:r>
        <w:separator/>
      </w:r>
    </w:p>
  </w:footnote>
  <w:footnote w:type="continuationSeparator" w:id="0">
    <w:p w:rsidR="0050626F" w:rsidRDefault="0050626F" w:rsidP="008F7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6"/>
    <w:rsid w:val="0050626F"/>
    <w:rsid w:val="00542196"/>
    <w:rsid w:val="008F738E"/>
    <w:rsid w:val="00DD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33A67"/>
  <w15:chartTrackingRefBased/>
  <w15:docId w15:val="{F8F9D7AB-7FA1-4DB6-BCB1-1CD0A772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38E"/>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38E"/>
    <w:pPr>
      <w:pBdr>
        <w:bottom w:val="single" w:sz="6" w:space="1" w:color="auto"/>
      </w:pBdr>
      <w:tabs>
        <w:tab w:val="center" w:pos="4153"/>
        <w:tab w:val="right" w:pos="8306"/>
      </w:tabs>
      <w:snapToGrid w:val="0"/>
      <w:jc w:val="center"/>
    </w:pPr>
    <w:rPr>
      <w:sz w:val="18"/>
      <w:szCs w:val="18"/>
      <w14:ligatures w14:val="none"/>
    </w:rPr>
  </w:style>
  <w:style w:type="character" w:customStyle="1" w:styleId="a4">
    <w:name w:val="页眉 字符"/>
    <w:basedOn w:val="a0"/>
    <w:link w:val="a3"/>
    <w:uiPriority w:val="99"/>
    <w:rsid w:val="008F738E"/>
    <w:rPr>
      <w:sz w:val="18"/>
      <w:szCs w:val="18"/>
    </w:rPr>
  </w:style>
  <w:style w:type="paragraph" w:styleId="a5">
    <w:name w:val="footer"/>
    <w:basedOn w:val="a"/>
    <w:link w:val="a6"/>
    <w:uiPriority w:val="99"/>
    <w:unhideWhenUsed/>
    <w:rsid w:val="008F738E"/>
    <w:pPr>
      <w:tabs>
        <w:tab w:val="center" w:pos="4153"/>
        <w:tab w:val="right" w:pos="8306"/>
      </w:tabs>
      <w:snapToGrid w:val="0"/>
      <w:jc w:val="left"/>
    </w:pPr>
    <w:rPr>
      <w:sz w:val="18"/>
      <w:szCs w:val="18"/>
      <w14:ligatures w14:val="none"/>
    </w:rPr>
  </w:style>
  <w:style w:type="character" w:customStyle="1" w:styleId="a6">
    <w:name w:val="页脚 字符"/>
    <w:basedOn w:val="a0"/>
    <w:link w:val="a5"/>
    <w:uiPriority w:val="99"/>
    <w:rsid w:val="008F738E"/>
    <w:rPr>
      <w:sz w:val="18"/>
      <w:szCs w:val="18"/>
    </w:rPr>
  </w:style>
  <w:style w:type="table" w:styleId="a7">
    <w:name w:val="Table Grid"/>
    <w:basedOn w:val="a1"/>
    <w:uiPriority w:val="39"/>
    <w:rsid w:val="008F738E"/>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2024-12-02T09:14:00Z</dcterms:created>
  <dcterms:modified xsi:type="dcterms:W3CDTF">2024-12-02T09:16:00Z</dcterms:modified>
</cp:coreProperties>
</file>