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38A56">
      <w:pPr>
        <w:pStyle w:val="9"/>
        <w:numPr>
          <w:ilvl w:val="0"/>
          <w:numId w:val="0"/>
        </w:numPr>
        <w:spacing w:before="156" w:after="62"/>
        <w:jc w:val="center"/>
        <w:rPr>
          <w:sz w:val="32"/>
          <w:szCs w:val="32"/>
        </w:rPr>
      </w:pPr>
      <w:r>
        <w:rPr>
          <w:rFonts w:hint="eastAsia"/>
          <w:sz w:val="32"/>
          <w:szCs w:val="32"/>
          <w:lang w:val="en-US" w:eastAsia="zh-CN"/>
        </w:rPr>
        <w:t>安徽医科大学第一附属医院南区机房及网络运维服务需求</w:t>
      </w:r>
    </w:p>
    <w:p w14:paraId="1A8AD8CA">
      <w:pPr>
        <w:spacing w:after="62" w:line="70" w:lineRule="exact"/>
        <w:rPr>
          <w:rFonts w:ascii="宋体" w:hAnsi="宋体" w:eastAsia="宋体" w:cs="Arial"/>
          <w:szCs w:val="21"/>
        </w:rPr>
      </w:pPr>
    </w:p>
    <w:p w14:paraId="7E539D18">
      <w:pPr>
        <w:pStyle w:val="3"/>
        <w:numPr>
          <w:ilvl w:val="0"/>
          <w:numId w:val="0"/>
        </w:numPr>
        <w:spacing w:before="156" w:after="62"/>
        <w:ind w:left="141"/>
        <w:rPr>
          <w:spacing w:val="-2"/>
          <w:kern w:val="0"/>
          <w:sz w:val="21"/>
          <w:szCs w:val="21"/>
          <w:lang w:eastAsia="zh-CN"/>
        </w:rPr>
      </w:pPr>
      <w:r>
        <w:rPr>
          <w:rFonts w:hint="eastAsia"/>
          <w:spacing w:val="-2"/>
          <w:kern w:val="0"/>
          <w:sz w:val="21"/>
          <w:szCs w:val="21"/>
          <w:lang w:eastAsia="zh-CN"/>
        </w:rPr>
        <w:t>一、项目需求</w:t>
      </w:r>
    </w:p>
    <w:p w14:paraId="37DB8A73">
      <w:pPr>
        <w:kinsoku w:val="0"/>
        <w:autoSpaceDE w:val="0"/>
        <w:autoSpaceDN w:val="0"/>
        <w:spacing w:before="184" w:after="62" w:line="360" w:lineRule="auto"/>
        <w:ind w:left="122" w:right="228" w:firstLine="482"/>
        <w:jc w:val="left"/>
        <w:textAlignment w:val="baseline"/>
        <w:rPr>
          <w:rFonts w:ascii="宋体" w:hAnsi="宋体" w:eastAsia="宋体" w:cs="宋体"/>
          <w:b w:val="0"/>
          <w:bCs w:val="0"/>
          <w:snapToGrid w:val="0"/>
          <w:color w:val="auto"/>
          <w:spacing w:val="-3"/>
          <w:kern w:val="0"/>
          <w:szCs w:val="21"/>
        </w:rPr>
      </w:pPr>
      <w:r>
        <w:rPr>
          <w:rFonts w:ascii="宋体" w:hAnsi="宋体" w:eastAsia="宋体" w:cs="宋体"/>
          <w:b w:val="0"/>
          <w:bCs w:val="0"/>
          <w:snapToGrid w:val="0"/>
          <w:color w:val="auto"/>
          <w:spacing w:val="-2"/>
          <w:kern w:val="0"/>
          <w:szCs w:val="21"/>
        </w:rPr>
        <w:t>全保维保服务是指招标人《维保设备清单》中所列软硬件设备在维保期间发生的所有运维故障，投标供应商须提供免费维保服务；运维过程中产生的软</w:t>
      </w:r>
      <w:r>
        <w:rPr>
          <w:rFonts w:ascii="宋体" w:hAnsi="宋体" w:eastAsia="宋体" w:cs="宋体"/>
          <w:b w:val="0"/>
          <w:bCs w:val="0"/>
          <w:snapToGrid w:val="0"/>
          <w:color w:val="auto"/>
          <w:spacing w:val="-3"/>
          <w:kern w:val="0"/>
          <w:szCs w:val="21"/>
        </w:rPr>
        <w:t>硬件配件费、技术服务费、差旅费等产生的所有费用均由投标供应商承担。</w:t>
      </w:r>
    </w:p>
    <w:p w14:paraId="76143882">
      <w:pPr>
        <w:kinsoku w:val="0"/>
        <w:autoSpaceDE w:val="0"/>
        <w:autoSpaceDN w:val="0"/>
        <w:spacing w:before="184" w:after="62" w:line="360" w:lineRule="auto"/>
        <w:ind w:left="122" w:right="228" w:firstLine="482"/>
        <w:jc w:val="left"/>
        <w:textAlignment w:val="baseline"/>
        <w:rPr>
          <w:rFonts w:ascii="宋体" w:hAnsi="宋体" w:eastAsia="宋体" w:cs="宋体"/>
          <w:b/>
          <w:bCs/>
          <w:snapToGrid w:val="0"/>
          <w:color w:val="auto"/>
          <w:kern w:val="0"/>
          <w:szCs w:val="21"/>
          <w:u w:val="single"/>
        </w:rPr>
      </w:pPr>
      <w:r>
        <w:rPr>
          <w:rFonts w:hint="eastAsia" w:ascii="宋体" w:hAnsi="宋体" w:eastAsia="宋体" w:cs="宋体"/>
          <w:b/>
          <w:bCs/>
          <w:snapToGrid w:val="0"/>
          <w:color w:val="auto"/>
          <w:spacing w:val="-3"/>
          <w:kern w:val="0"/>
          <w:szCs w:val="21"/>
          <w:u w:val="single"/>
        </w:rPr>
        <w:t>投标供应商须针对招标人以下需维保的软硬件设备提供全保维保服务，并</w:t>
      </w:r>
      <w:r>
        <w:rPr>
          <w:rFonts w:hint="eastAsia" w:ascii="宋体" w:hAnsi="宋体" w:eastAsia="宋体" w:cs="宋体"/>
          <w:b/>
          <w:bCs/>
          <w:snapToGrid w:val="0"/>
          <w:color w:val="auto"/>
          <w:spacing w:val="-3"/>
          <w:kern w:val="0"/>
          <w:szCs w:val="21"/>
          <w:u w:val="single"/>
          <w:lang w:val="en-US" w:eastAsia="zh-CN"/>
        </w:rPr>
        <w:t>于开标前提供</w:t>
      </w:r>
      <w:r>
        <w:rPr>
          <w:rFonts w:hint="eastAsia" w:ascii="宋体" w:hAnsi="宋体" w:eastAsia="宋体" w:cs="宋体"/>
          <w:b/>
          <w:bCs/>
          <w:snapToGrid w:val="0"/>
          <w:color w:val="auto"/>
          <w:spacing w:val="-3"/>
          <w:kern w:val="0"/>
          <w:szCs w:val="21"/>
          <w:u w:val="single"/>
        </w:rPr>
        <w:t>针对以下设备的</w:t>
      </w:r>
      <w:r>
        <w:rPr>
          <w:rFonts w:hint="eastAsia" w:ascii="宋体" w:hAnsi="宋体" w:eastAsia="宋体" w:cs="宋体"/>
          <w:b/>
          <w:bCs/>
          <w:snapToGrid w:val="0"/>
          <w:color w:val="auto"/>
          <w:spacing w:val="-3"/>
          <w:kern w:val="0"/>
          <w:szCs w:val="21"/>
          <w:u w:val="single"/>
          <w:lang w:val="en-US" w:eastAsia="zh-CN"/>
        </w:rPr>
        <w:t>全包式</w:t>
      </w:r>
      <w:r>
        <w:rPr>
          <w:rFonts w:hint="eastAsia" w:ascii="宋体" w:hAnsi="宋体" w:eastAsia="宋体" w:cs="宋体"/>
          <w:b/>
          <w:bCs/>
          <w:snapToGrid w:val="0"/>
          <w:color w:val="auto"/>
          <w:spacing w:val="-3"/>
          <w:kern w:val="0"/>
          <w:szCs w:val="21"/>
          <w:u w:val="single"/>
        </w:rPr>
        <w:t>维保</w:t>
      </w:r>
      <w:r>
        <w:rPr>
          <w:rFonts w:hint="eastAsia" w:ascii="宋体" w:hAnsi="宋体" w:eastAsia="宋体" w:cs="宋体"/>
          <w:b/>
          <w:bCs/>
          <w:snapToGrid w:val="0"/>
          <w:color w:val="auto"/>
          <w:spacing w:val="-3"/>
          <w:kern w:val="0"/>
          <w:szCs w:val="21"/>
          <w:u w:val="single"/>
          <w:lang w:val="en-US" w:eastAsia="zh-CN"/>
        </w:rPr>
        <w:t>的</w:t>
      </w:r>
      <w:r>
        <w:rPr>
          <w:rFonts w:hint="eastAsia" w:ascii="宋体" w:hAnsi="宋体" w:eastAsia="宋体" w:cs="宋体"/>
          <w:b/>
          <w:bCs/>
          <w:snapToGrid w:val="0"/>
          <w:color w:val="auto"/>
          <w:spacing w:val="-3"/>
          <w:kern w:val="0"/>
          <w:szCs w:val="21"/>
          <w:u w:val="single"/>
        </w:rPr>
        <w:t>承诺</w:t>
      </w:r>
      <w:r>
        <w:rPr>
          <w:rFonts w:hint="eastAsia" w:ascii="宋体" w:hAnsi="宋体" w:eastAsia="宋体" w:cs="宋体"/>
          <w:b/>
          <w:bCs/>
          <w:snapToGrid w:val="0"/>
          <w:color w:val="auto"/>
          <w:spacing w:val="-3"/>
          <w:kern w:val="0"/>
          <w:szCs w:val="21"/>
          <w:u w:val="single"/>
          <w:lang w:val="en-US" w:eastAsia="zh-CN"/>
        </w:rPr>
        <w:t>并加盖公章</w:t>
      </w:r>
      <w:r>
        <w:rPr>
          <w:rFonts w:hint="eastAsia" w:ascii="宋体" w:hAnsi="宋体" w:eastAsia="宋体" w:cs="宋体"/>
          <w:b/>
          <w:bCs/>
          <w:snapToGrid w:val="0"/>
          <w:color w:val="auto"/>
          <w:spacing w:val="-3"/>
          <w:kern w:val="0"/>
          <w:szCs w:val="21"/>
          <w:u w:val="single"/>
        </w:rPr>
        <w:t>。</w:t>
      </w:r>
    </w:p>
    <w:p w14:paraId="00C8C7F8">
      <w:pPr>
        <w:kinsoku w:val="0"/>
        <w:autoSpaceDE w:val="0"/>
        <w:autoSpaceDN w:val="0"/>
        <w:spacing w:after="62" w:line="220" w:lineRule="auto"/>
        <w:ind w:left="622"/>
        <w:jc w:val="center"/>
        <w:textAlignment w:val="baseline"/>
        <w:rPr>
          <w:rFonts w:ascii="宋体" w:hAnsi="宋体" w:eastAsia="宋体" w:cs="宋体"/>
          <w:snapToGrid w:val="0"/>
          <w:color w:val="000000"/>
          <w:spacing w:val="-1"/>
          <w:kern w:val="0"/>
          <w:szCs w:val="21"/>
        </w:rPr>
      </w:pPr>
      <w:r>
        <w:rPr>
          <w:rFonts w:hint="eastAsia" w:ascii="宋体" w:hAnsi="宋体" w:eastAsia="宋体" w:cs="宋体"/>
          <w:snapToGrid w:val="0"/>
          <w:color w:val="000000"/>
          <w:spacing w:val="-1"/>
          <w:kern w:val="0"/>
          <w:szCs w:val="21"/>
        </w:rPr>
        <w:t>《</w:t>
      </w:r>
      <w:r>
        <w:rPr>
          <w:rFonts w:ascii="宋体" w:hAnsi="宋体" w:eastAsia="宋体" w:cs="宋体"/>
          <w:snapToGrid w:val="0"/>
          <w:color w:val="000000"/>
          <w:spacing w:val="-1"/>
          <w:kern w:val="0"/>
          <w:szCs w:val="21"/>
        </w:rPr>
        <w:t>维保设备清单</w:t>
      </w:r>
      <w:r>
        <w:rPr>
          <w:rFonts w:hint="eastAsia" w:ascii="宋体" w:hAnsi="宋体" w:eastAsia="宋体" w:cs="宋体"/>
          <w:snapToGrid w:val="0"/>
          <w:color w:val="000000"/>
          <w:spacing w:val="-1"/>
          <w:kern w:val="0"/>
          <w:szCs w:val="21"/>
        </w:rPr>
        <w:t>》</w:t>
      </w:r>
    </w:p>
    <w:p w14:paraId="4E3CFFE0">
      <w:pPr>
        <w:spacing w:after="62"/>
        <w:rPr>
          <w:rFonts w:ascii="宋体" w:hAnsi="宋体" w:eastAsia="宋体"/>
          <w:szCs w:val="21"/>
        </w:rPr>
      </w:pPr>
    </w:p>
    <w:tbl>
      <w:tblPr>
        <w:tblStyle w:val="29"/>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66"/>
        <w:gridCol w:w="3333"/>
        <w:gridCol w:w="926"/>
        <w:gridCol w:w="783"/>
        <w:gridCol w:w="1574"/>
      </w:tblGrid>
      <w:tr w14:paraId="196A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15310B25">
            <w:pPr>
              <w:spacing w:after="62" w:line="400" w:lineRule="exact"/>
              <w:jc w:val="center"/>
              <w:rPr>
                <w:rFonts w:ascii="宋体" w:hAnsi="宋体" w:eastAsia="宋体" w:cs="宋体"/>
                <w:b/>
                <w:bCs/>
                <w:szCs w:val="21"/>
              </w:rPr>
            </w:pPr>
            <w:r>
              <w:rPr>
                <w:rFonts w:hint="eastAsia" w:ascii="宋体" w:hAnsi="宋体" w:eastAsia="宋体" w:cs="宋体"/>
                <w:b/>
                <w:bCs/>
                <w:szCs w:val="21"/>
              </w:rPr>
              <w:t>序号</w:t>
            </w:r>
          </w:p>
        </w:tc>
        <w:tc>
          <w:tcPr>
            <w:tcW w:w="1866" w:type="dxa"/>
            <w:vAlign w:val="center"/>
          </w:tcPr>
          <w:p w14:paraId="15854AF5">
            <w:pPr>
              <w:spacing w:after="62" w:line="400" w:lineRule="exact"/>
              <w:jc w:val="center"/>
              <w:rPr>
                <w:rFonts w:ascii="宋体" w:hAnsi="宋体" w:eastAsia="宋体" w:cs="宋体"/>
                <w:b/>
                <w:bCs/>
                <w:szCs w:val="21"/>
              </w:rPr>
            </w:pPr>
            <w:r>
              <w:rPr>
                <w:rFonts w:hint="eastAsia" w:ascii="宋体" w:hAnsi="宋体" w:eastAsia="宋体" w:cs="宋体"/>
                <w:b/>
                <w:bCs/>
                <w:szCs w:val="21"/>
              </w:rPr>
              <w:t>服务项目</w:t>
            </w:r>
          </w:p>
        </w:tc>
        <w:tc>
          <w:tcPr>
            <w:tcW w:w="3333" w:type="dxa"/>
            <w:vAlign w:val="center"/>
          </w:tcPr>
          <w:p w14:paraId="35995B8B">
            <w:pPr>
              <w:spacing w:after="62" w:line="400" w:lineRule="exact"/>
              <w:jc w:val="center"/>
              <w:rPr>
                <w:rFonts w:ascii="宋体" w:hAnsi="宋体" w:eastAsia="宋体" w:cs="宋体"/>
                <w:b/>
                <w:bCs/>
                <w:szCs w:val="21"/>
              </w:rPr>
            </w:pPr>
            <w:r>
              <w:rPr>
                <w:rFonts w:hint="eastAsia" w:ascii="宋体" w:hAnsi="宋体" w:eastAsia="宋体" w:cs="宋体"/>
                <w:b/>
                <w:bCs/>
                <w:szCs w:val="21"/>
              </w:rPr>
              <w:t>需维保的软硬件设备</w:t>
            </w:r>
          </w:p>
        </w:tc>
        <w:tc>
          <w:tcPr>
            <w:tcW w:w="926" w:type="dxa"/>
            <w:vAlign w:val="center"/>
          </w:tcPr>
          <w:p w14:paraId="5759A25C">
            <w:pPr>
              <w:spacing w:after="62" w:line="400" w:lineRule="exact"/>
              <w:jc w:val="center"/>
              <w:rPr>
                <w:rFonts w:ascii="宋体" w:hAnsi="宋体" w:eastAsia="宋体" w:cs="宋体"/>
                <w:b/>
                <w:bCs/>
                <w:szCs w:val="21"/>
              </w:rPr>
            </w:pPr>
            <w:r>
              <w:rPr>
                <w:rFonts w:hint="eastAsia" w:ascii="宋体" w:hAnsi="宋体" w:eastAsia="宋体" w:cs="宋体"/>
                <w:b/>
                <w:bCs/>
                <w:szCs w:val="21"/>
              </w:rPr>
              <w:t>数 量</w:t>
            </w:r>
          </w:p>
        </w:tc>
        <w:tc>
          <w:tcPr>
            <w:tcW w:w="783" w:type="dxa"/>
            <w:vAlign w:val="center"/>
          </w:tcPr>
          <w:p w14:paraId="24B68C79">
            <w:pPr>
              <w:widowControl/>
              <w:spacing w:after="62" w:line="400" w:lineRule="exact"/>
              <w:jc w:val="center"/>
              <w:rPr>
                <w:rFonts w:ascii="宋体" w:hAnsi="宋体" w:eastAsia="宋体" w:cs="宋体"/>
                <w:b/>
                <w:bCs/>
                <w:kern w:val="0"/>
                <w:szCs w:val="21"/>
              </w:rPr>
            </w:pPr>
            <w:r>
              <w:rPr>
                <w:rFonts w:hint="eastAsia" w:ascii="宋体" w:hAnsi="宋体" w:eastAsia="宋体" w:cs="宋体"/>
                <w:b/>
                <w:bCs/>
                <w:szCs w:val="21"/>
              </w:rPr>
              <w:t>单位</w:t>
            </w:r>
          </w:p>
        </w:tc>
        <w:tc>
          <w:tcPr>
            <w:tcW w:w="1574" w:type="dxa"/>
            <w:vAlign w:val="center"/>
          </w:tcPr>
          <w:p w14:paraId="0A37CAC3">
            <w:pPr>
              <w:widowControl/>
              <w:spacing w:after="62" w:line="400" w:lineRule="exact"/>
              <w:jc w:val="center"/>
              <w:rPr>
                <w:rFonts w:ascii="宋体" w:hAnsi="宋体" w:eastAsia="宋体" w:cs="宋体"/>
                <w:b/>
                <w:bCs/>
                <w:szCs w:val="21"/>
              </w:rPr>
            </w:pPr>
            <w:r>
              <w:rPr>
                <w:rFonts w:hint="eastAsia" w:ascii="宋体" w:hAnsi="宋体" w:eastAsia="宋体" w:cs="宋体"/>
                <w:b/>
                <w:bCs/>
                <w:szCs w:val="21"/>
              </w:rPr>
              <w:t>备注</w:t>
            </w:r>
          </w:p>
        </w:tc>
      </w:tr>
      <w:tr w14:paraId="11B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restart"/>
            <w:vAlign w:val="center"/>
          </w:tcPr>
          <w:p w14:paraId="507E7BC6">
            <w:pPr>
              <w:spacing w:after="62"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1866" w:type="dxa"/>
            <w:vMerge w:val="restart"/>
            <w:vAlign w:val="center"/>
          </w:tcPr>
          <w:p w14:paraId="1F5F3871">
            <w:pPr>
              <w:spacing w:after="62" w:line="400" w:lineRule="exact"/>
              <w:jc w:val="center"/>
              <w:rPr>
                <w:rFonts w:ascii="宋体" w:hAnsi="宋体" w:eastAsia="宋体" w:cs="宋体"/>
                <w:kern w:val="0"/>
                <w:szCs w:val="21"/>
              </w:rPr>
            </w:pPr>
            <w:r>
              <w:rPr>
                <w:rFonts w:hint="eastAsia" w:ascii="宋体" w:hAnsi="宋体" w:eastAsia="宋体" w:cs="宋体"/>
                <w:kern w:val="0"/>
                <w:szCs w:val="21"/>
              </w:rPr>
              <w:t>服务器</w:t>
            </w:r>
          </w:p>
        </w:tc>
        <w:tc>
          <w:tcPr>
            <w:tcW w:w="3333" w:type="dxa"/>
            <w:vAlign w:val="center"/>
          </w:tcPr>
          <w:p w14:paraId="230514E7">
            <w:pPr>
              <w:widowControl/>
              <w:spacing w:after="62" w:line="400" w:lineRule="exact"/>
              <w:jc w:val="center"/>
              <w:textAlignment w:val="center"/>
              <w:rPr>
                <w:rFonts w:ascii="宋体" w:hAnsi="宋体" w:eastAsia="宋体" w:cs="宋体"/>
                <w:szCs w:val="21"/>
              </w:rPr>
            </w:pPr>
            <w:r>
              <w:rPr>
                <w:rFonts w:ascii="宋体" w:hAnsi="宋体" w:eastAsia="宋体" w:cs="宋体"/>
                <w:szCs w:val="21"/>
              </w:rPr>
              <w:t>HPE DL580 GEN 10</w:t>
            </w:r>
          </w:p>
        </w:tc>
        <w:tc>
          <w:tcPr>
            <w:tcW w:w="926" w:type="dxa"/>
            <w:vAlign w:val="center"/>
          </w:tcPr>
          <w:p w14:paraId="14FFB132">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3" w:type="dxa"/>
            <w:vAlign w:val="center"/>
          </w:tcPr>
          <w:p w14:paraId="303D8562">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4332DF9C">
            <w:pPr>
              <w:widowControl/>
              <w:spacing w:after="62" w:line="400" w:lineRule="exact"/>
              <w:jc w:val="center"/>
              <w:rPr>
                <w:rFonts w:ascii="宋体" w:hAnsi="宋体" w:eastAsia="宋体" w:cs="宋体"/>
                <w:kern w:val="0"/>
                <w:szCs w:val="21"/>
              </w:rPr>
            </w:pPr>
          </w:p>
        </w:tc>
      </w:tr>
      <w:tr w14:paraId="2405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1F569F13">
            <w:pPr>
              <w:widowControl/>
              <w:spacing w:after="62" w:line="400" w:lineRule="exact"/>
              <w:jc w:val="center"/>
              <w:rPr>
                <w:rFonts w:ascii="宋体" w:hAnsi="宋体" w:eastAsia="宋体" w:cs="宋体"/>
                <w:kern w:val="0"/>
                <w:szCs w:val="21"/>
              </w:rPr>
            </w:pPr>
          </w:p>
        </w:tc>
        <w:tc>
          <w:tcPr>
            <w:tcW w:w="1866" w:type="dxa"/>
            <w:vMerge w:val="continue"/>
            <w:vAlign w:val="center"/>
          </w:tcPr>
          <w:p w14:paraId="59214F4D">
            <w:pPr>
              <w:spacing w:after="62" w:line="400" w:lineRule="exact"/>
              <w:jc w:val="center"/>
              <w:rPr>
                <w:rFonts w:ascii="宋体" w:hAnsi="宋体" w:eastAsia="宋体" w:cs="宋体"/>
                <w:kern w:val="0"/>
                <w:szCs w:val="21"/>
              </w:rPr>
            </w:pPr>
          </w:p>
        </w:tc>
        <w:tc>
          <w:tcPr>
            <w:tcW w:w="3333" w:type="dxa"/>
            <w:vAlign w:val="center"/>
          </w:tcPr>
          <w:p w14:paraId="6DEC2E09">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HPE DL580 Gen 9</w:t>
            </w:r>
          </w:p>
        </w:tc>
        <w:tc>
          <w:tcPr>
            <w:tcW w:w="926" w:type="dxa"/>
            <w:vAlign w:val="center"/>
          </w:tcPr>
          <w:p w14:paraId="18AF1325">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783" w:type="dxa"/>
            <w:vAlign w:val="center"/>
          </w:tcPr>
          <w:p w14:paraId="0F7E404C">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79754C84">
            <w:pPr>
              <w:widowControl/>
              <w:spacing w:after="62" w:line="400" w:lineRule="exact"/>
              <w:jc w:val="center"/>
              <w:rPr>
                <w:rFonts w:ascii="宋体" w:hAnsi="宋体" w:eastAsia="宋体" w:cs="宋体"/>
                <w:kern w:val="0"/>
                <w:szCs w:val="21"/>
              </w:rPr>
            </w:pPr>
          </w:p>
        </w:tc>
      </w:tr>
      <w:tr w14:paraId="4DCD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5BDE5C50">
            <w:pPr>
              <w:widowControl/>
              <w:spacing w:after="62" w:line="400" w:lineRule="exact"/>
              <w:jc w:val="center"/>
              <w:rPr>
                <w:rFonts w:ascii="宋体" w:hAnsi="宋体" w:eastAsia="宋体" w:cs="宋体"/>
                <w:kern w:val="0"/>
                <w:szCs w:val="21"/>
              </w:rPr>
            </w:pPr>
          </w:p>
        </w:tc>
        <w:tc>
          <w:tcPr>
            <w:tcW w:w="1866" w:type="dxa"/>
            <w:vMerge w:val="continue"/>
            <w:vAlign w:val="center"/>
          </w:tcPr>
          <w:p w14:paraId="7C8856C1">
            <w:pPr>
              <w:widowControl/>
              <w:spacing w:after="62" w:line="400" w:lineRule="exact"/>
              <w:jc w:val="center"/>
              <w:rPr>
                <w:rFonts w:ascii="宋体" w:hAnsi="宋体" w:eastAsia="宋体" w:cs="宋体"/>
                <w:kern w:val="0"/>
                <w:szCs w:val="21"/>
              </w:rPr>
            </w:pPr>
          </w:p>
        </w:tc>
        <w:tc>
          <w:tcPr>
            <w:tcW w:w="3333" w:type="dxa"/>
            <w:vAlign w:val="center"/>
          </w:tcPr>
          <w:p w14:paraId="1575275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IBM X3850 X5</w:t>
            </w:r>
          </w:p>
        </w:tc>
        <w:tc>
          <w:tcPr>
            <w:tcW w:w="926" w:type="dxa"/>
            <w:vAlign w:val="center"/>
          </w:tcPr>
          <w:p w14:paraId="4A723C58">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783" w:type="dxa"/>
            <w:vAlign w:val="center"/>
          </w:tcPr>
          <w:p w14:paraId="1B81E7B8">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1A338F6">
            <w:pPr>
              <w:widowControl/>
              <w:spacing w:after="62" w:line="400" w:lineRule="exact"/>
              <w:jc w:val="center"/>
              <w:rPr>
                <w:rFonts w:ascii="宋体" w:hAnsi="宋体" w:eastAsia="宋体" w:cs="宋体"/>
                <w:kern w:val="0"/>
                <w:szCs w:val="21"/>
              </w:rPr>
            </w:pPr>
          </w:p>
        </w:tc>
      </w:tr>
      <w:tr w14:paraId="7F7D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67AF9248">
            <w:pPr>
              <w:widowControl/>
              <w:spacing w:after="62" w:line="400" w:lineRule="exact"/>
              <w:jc w:val="center"/>
              <w:rPr>
                <w:rFonts w:ascii="宋体" w:hAnsi="宋体" w:eastAsia="宋体" w:cs="宋体"/>
                <w:kern w:val="0"/>
                <w:szCs w:val="21"/>
              </w:rPr>
            </w:pPr>
          </w:p>
        </w:tc>
        <w:tc>
          <w:tcPr>
            <w:tcW w:w="1866" w:type="dxa"/>
            <w:vMerge w:val="continue"/>
            <w:vAlign w:val="center"/>
          </w:tcPr>
          <w:p w14:paraId="558BB1F7">
            <w:pPr>
              <w:widowControl/>
              <w:spacing w:after="62" w:line="400" w:lineRule="exact"/>
              <w:jc w:val="center"/>
              <w:rPr>
                <w:rFonts w:ascii="宋体" w:hAnsi="宋体" w:eastAsia="宋体" w:cs="宋体"/>
                <w:kern w:val="0"/>
                <w:szCs w:val="21"/>
              </w:rPr>
            </w:pPr>
          </w:p>
        </w:tc>
        <w:tc>
          <w:tcPr>
            <w:tcW w:w="3333" w:type="dxa"/>
            <w:vAlign w:val="center"/>
          </w:tcPr>
          <w:p w14:paraId="6B373A74">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联想万全R680</w:t>
            </w:r>
          </w:p>
        </w:tc>
        <w:tc>
          <w:tcPr>
            <w:tcW w:w="926" w:type="dxa"/>
            <w:vAlign w:val="center"/>
          </w:tcPr>
          <w:p w14:paraId="40CA594B">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3" w:type="dxa"/>
            <w:vAlign w:val="center"/>
          </w:tcPr>
          <w:p w14:paraId="2DD0747B">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31114B2E">
            <w:pPr>
              <w:widowControl/>
              <w:spacing w:after="62" w:line="400" w:lineRule="exact"/>
              <w:jc w:val="center"/>
              <w:rPr>
                <w:rFonts w:ascii="宋体" w:hAnsi="宋体" w:eastAsia="宋体" w:cs="宋体"/>
                <w:kern w:val="0"/>
                <w:szCs w:val="21"/>
              </w:rPr>
            </w:pPr>
          </w:p>
        </w:tc>
      </w:tr>
      <w:tr w14:paraId="18A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7" w:type="dxa"/>
            <w:vMerge w:val="continue"/>
            <w:vAlign w:val="center"/>
          </w:tcPr>
          <w:p w14:paraId="1F359EBE">
            <w:pPr>
              <w:widowControl/>
              <w:spacing w:after="62" w:line="400" w:lineRule="exact"/>
              <w:jc w:val="center"/>
              <w:rPr>
                <w:rFonts w:ascii="宋体" w:hAnsi="宋体" w:eastAsia="宋体" w:cs="宋体"/>
                <w:kern w:val="0"/>
                <w:szCs w:val="21"/>
              </w:rPr>
            </w:pPr>
          </w:p>
        </w:tc>
        <w:tc>
          <w:tcPr>
            <w:tcW w:w="1866" w:type="dxa"/>
            <w:vMerge w:val="continue"/>
            <w:vAlign w:val="center"/>
          </w:tcPr>
          <w:p w14:paraId="67179FFC">
            <w:pPr>
              <w:widowControl/>
              <w:spacing w:after="62" w:line="400" w:lineRule="exact"/>
              <w:jc w:val="center"/>
              <w:rPr>
                <w:rFonts w:ascii="宋体" w:hAnsi="宋体" w:eastAsia="宋体" w:cs="宋体"/>
                <w:kern w:val="0"/>
                <w:szCs w:val="21"/>
              </w:rPr>
            </w:pPr>
          </w:p>
        </w:tc>
        <w:tc>
          <w:tcPr>
            <w:tcW w:w="3333" w:type="dxa"/>
            <w:vAlign w:val="center"/>
          </w:tcPr>
          <w:p w14:paraId="106172E5">
            <w:pPr>
              <w:spacing w:after="62" w:line="400" w:lineRule="exact"/>
              <w:jc w:val="center"/>
              <w:textAlignment w:val="center"/>
              <w:rPr>
                <w:rFonts w:ascii="宋体" w:hAnsi="宋体" w:eastAsia="宋体" w:cs="宋体"/>
                <w:szCs w:val="21"/>
              </w:rPr>
            </w:pPr>
            <w:r>
              <w:rPr>
                <w:rFonts w:hint="eastAsia" w:ascii="宋体" w:hAnsi="宋体" w:eastAsia="宋体" w:cs="宋体"/>
                <w:szCs w:val="21"/>
              </w:rPr>
              <w:t>超云R5210 G11</w:t>
            </w:r>
          </w:p>
        </w:tc>
        <w:tc>
          <w:tcPr>
            <w:tcW w:w="926" w:type="dxa"/>
            <w:vAlign w:val="center"/>
          </w:tcPr>
          <w:p w14:paraId="058187B2">
            <w:pPr>
              <w:spacing w:after="62" w:line="400" w:lineRule="exact"/>
              <w:jc w:val="center"/>
              <w:textAlignment w:val="center"/>
              <w:rPr>
                <w:rFonts w:ascii="宋体" w:hAnsi="宋体" w:eastAsia="宋体" w:cs="宋体"/>
                <w:kern w:val="0"/>
                <w:szCs w:val="21"/>
                <w:lang w:bidi="ar"/>
              </w:rPr>
            </w:pPr>
            <w:r>
              <w:rPr>
                <w:rFonts w:ascii="宋体" w:hAnsi="宋体" w:eastAsia="宋体" w:cs="宋体"/>
                <w:kern w:val="0"/>
                <w:szCs w:val="21"/>
                <w:lang w:bidi="ar"/>
              </w:rPr>
              <w:t>2</w:t>
            </w:r>
          </w:p>
        </w:tc>
        <w:tc>
          <w:tcPr>
            <w:tcW w:w="783" w:type="dxa"/>
            <w:vAlign w:val="center"/>
          </w:tcPr>
          <w:p w14:paraId="553F7C99">
            <w:pPr>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7F9BD79D">
            <w:pPr>
              <w:widowControl/>
              <w:spacing w:after="62" w:line="400" w:lineRule="exact"/>
              <w:jc w:val="center"/>
              <w:rPr>
                <w:rFonts w:ascii="宋体" w:hAnsi="宋体" w:eastAsia="宋体" w:cs="宋体"/>
                <w:kern w:val="0"/>
                <w:szCs w:val="21"/>
              </w:rPr>
            </w:pPr>
          </w:p>
        </w:tc>
      </w:tr>
      <w:tr w14:paraId="5AA1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17" w:type="dxa"/>
            <w:vMerge w:val="continue"/>
            <w:vAlign w:val="center"/>
          </w:tcPr>
          <w:p w14:paraId="11DB2EC6">
            <w:pPr>
              <w:widowControl/>
              <w:spacing w:after="62" w:line="400" w:lineRule="exact"/>
              <w:jc w:val="center"/>
              <w:rPr>
                <w:rFonts w:ascii="宋体" w:hAnsi="宋体" w:eastAsia="宋体" w:cs="宋体"/>
                <w:kern w:val="0"/>
                <w:szCs w:val="21"/>
              </w:rPr>
            </w:pPr>
          </w:p>
        </w:tc>
        <w:tc>
          <w:tcPr>
            <w:tcW w:w="1866" w:type="dxa"/>
            <w:vMerge w:val="continue"/>
            <w:vAlign w:val="center"/>
          </w:tcPr>
          <w:p w14:paraId="209E1A47">
            <w:pPr>
              <w:widowControl/>
              <w:spacing w:after="62" w:line="400" w:lineRule="exact"/>
              <w:jc w:val="center"/>
              <w:rPr>
                <w:rFonts w:ascii="宋体" w:hAnsi="宋体" w:eastAsia="宋体" w:cs="宋体"/>
                <w:kern w:val="0"/>
                <w:szCs w:val="21"/>
              </w:rPr>
            </w:pPr>
          </w:p>
        </w:tc>
        <w:tc>
          <w:tcPr>
            <w:tcW w:w="3333" w:type="dxa"/>
            <w:vAlign w:val="center"/>
          </w:tcPr>
          <w:p w14:paraId="6C62E00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ThinkServer TD350</w:t>
            </w:r>
          </w:p>
        </w:tc>
        <w:tc>
          <w:tcPr>
            <w:tcW w:w="926" w:type="dxa"/>
            <w:vAlign w:val="center"/>
          </w:tcPr>
          <w:p w14:paraId="283A066D">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551543F6">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2BDD0F55">
            <w:pPr>
              <w:widowControl/>
              <w:spacing w:after="62" w:line="400" w:lineRule="exact"/>
              <w:jc w:val="center"/>
              <w:rPr>
                <w:rFonts w:ascii="宋体" w:hAnsi="宋体" w:eastAsia="宋体" w:cs="宋体"/>
                <w:kern w:val="0"/>
                <w:szCs w:val="21"/>
              </w:rPr>
            </w:pPr>
          </w:p>
        </w:tc>
      </w:tr>
      <w:tr w14:paraId="50EB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restart"/>
            <w:vAlign w:val="center"/>
          </w:tcPr>
          <w:p w14:paraId="128D09DA">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1866" w:type="dxa"/>
            <w:vMerge w:val="restart"/>
            <w:vAlign w:val="center"/>
          </w:tcPr>
          <w:p w14:paraId="47BF9DAD">
            <w:pPr>
              <w:spacing w:after="62" w:line="400" w:lineRule="exact"/>
              <w:jc w:val="center"/>
              <w:rPr>
                <w:rFonts w:ascii="宋体" w:hAnsi="宋体" w:eastAsia="宋体" w:cs="宋体"/>
                <w:kern w:val="0"/>
                <w:szCs w:val="21"/>
              </w:rPr>
            </w:pPr>
            <w:r>
              <w:rPr>
                <w:rFonts w:hint="eastAsia" w:ascii="宋体" w:hAnsi="宋体" w:eastAsia="宋体" w:cs="宋体"/>
                <w:kern w:val="0"/>
                <w:szCs w:val="21"/>
              </w:rPr>
              <w:t>存储</w:t>
            </w:r>
          </w:p>
        </w:tc>
        <w:tc>
          <w:tcPr>
            <w:tcW w:w="3333" w:type="dxa"/>
            <w:vAlign w:val="center"/>
          </w:tcPr>
          <w:p w14:paraId="1D10D981">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HPE MSA 2050</w:t>
            </w:r>
          </w:p>
        </w:tc>
        <w:tc>
          <w:tcPr>
            <w:tcW w:w="926" w:type="dxa"/>
            <w:vAlign w:val="center"/>
          </w:tcPr>
          <w:p w14:paraId="2A74F3AB">
            <w:pPr>
              <w:widowControl/>
              <w:spacing w:after="62" w:line="400" w:lineRule="exact"/>
              <w:jc w:val="center"/>
              <w:textAlignment w:val="center"/>
              <w:rPr>
                <w:rFonts w:ascii="宋体" w:hAnsi="宋体" w:eastAsia="宋体" w:cs="宋体"/>
                <w:szCs w:val="21"/>
              </w:rPr>
            </w:pPr>
            <w:r>
              <w:rPr>
                <w:rFonts w:ascii="宋体" w:hAnsi="宋体" w:eastAsia="宋体" w:cs="宋体"/>
                <w:kern w:val="0"/>
                <w:szCs w:val="21"/>
                <w:lang w:bidi="ar"/>
              </w:rPr>
              <w:t>2</w:t>
            </w:r>
          </w:p>
        </w:tc>
        <w:tc>
          <w:tcPr>
            <w:tcW w:w="783" w:type="dxa"/>
            <w:vAlign w:val="center"/>
          </w:tcPr>
          <w:p w14:paraId="63B4BDBD">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27DFD49A">
            <w:pPr>
              <w:widowControl/>
              <w:spacing w:after="62" w:line="400" w:lineRule="exact"/>
              <w:jc w:val="center"/>
              <w:rPr>
                <w:rFonts w:ascii="宋体" w:hAnsi="宋体" w:eastAsia="宋体" w:cs="宋体"/>
                <w:kern w:val="0"/>
                <w:szCs w:val="21"/>
              </w:rPr>
            </w:pPr>
          </w:p>
        </w:tc>
      </w:tr>
      <w:tr w14:paraId="7662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536425DE">
            <w:pPr>
              <w:widowControl/>
              <w:spacing w:after="62" w:line="400" w:lineRule="exact"/>
              <w:jc w:val="center"/>
              <w:rPr>
                <w:rFonts w:ascii="宋体" w:hAnsi="宋体" w:eastAsia="宋体" w:cs="宋体"/>
                <w:kern w:val="0"/>
                <w:szCs w:val="21"/>
              </w:rPr>
            </w:pPr>
          </w:p>
        </w:tc>
        <w:tc>
          <w:tcPr>
            <w:tcW w:w="1866" w:type="dxa"/>
            <w:vMerge w:val="continue"/>
            <w:vAlign w:val="center"/>
          </w:tcPr>
          <w:p w14:paraId="440D9854">
            <w:pPr>
              <w:spacing w:after="62" w:line="400" w:lineRule="exact"/>
              <w:jc w:val="center"/>
              <w:rPr>
                <w:rFonts w:ascii="宋体" w:hAnsi="宋体" w:eastAsia="宋体" w:cs="宋体"/>
                <w:kern w:val="0"/>
                <w:szCs w:val="21"/>
              </w:rPr>
            </w:pPr>
          </w:p>
        </w:tc>
        <w:tc>
          <w:tcPr>
            <w:tcW w:w="3333" w:type="dxa"/>
            <w:vAlign w:val="center"/>
          </w:tcPr>
          <w:p w14:paraId="5899B0D2">
            <w:pPr>
              <w:widowControl/>
              <w:spacing w:after="62" w:line="400" w:lineRule="exact"/>
              <w:jc w:val="center"/>
              <w:textAlignment w:val="center"/>
              <w:rPr>
                <w:rFonts w:ascii="宋体" w:hAnsi="宋体" w:eastAsia="宋体" w:cs="宋体"/>
                <w:szCs w:val="21"/>
              </w:rPr>
            </w:pPr>
            <w:r>
              <w:rPr>
                <w:rFonts w:ascii="宋体" w:hAnsi="宋体" w:eastAsia="宋体" w:cs="宋体"/>
                <w:szCs w:val="21"/>
              </w:rPr>
              <w:t>HP P4300 G2</w:t>
            </w:r>
          </w:p>
        </w:tc>
        <w:tc>
          <w:tcPr>
            <w:tcW w:w="926" w:type="dxa"/>
            <w:vAlign w:val="center"/>
          </w:tcPr>
          <w:p w14:paraId="1B214E1F">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67BEA8F7">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1865044B">
            <w:pPr>
              <w:widowControl/>
              <w:spacing w:after="62" w:line="400" w:lineRule="exact"/>
              <w:jc w:val="center"/>
              <w:rPr>
                <w:rFonts w:ascii="宋体" w:hAnsi="宋体" w:eastAsia="宋体" w:cs="宋体"/>
                <w:kern w:val="0"/>
                <w:szCs w:val="21"/>
              </w:rPr>
            </w:pPr>
          </w:p>
        </w:tc>
      </w:tr>
      <w:tr w14:paraId="7319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0465B7B1">
            <w:pPr>
              <w:widowControl/>
              <w:spacing w:after="62" w:line="400" w:lineRule="exact"/>
              <w:jc w:val="center"/>
              <w:rPr>
                <w:rFonts w:ascii="宋体" w:hAnsi="宋体" w:eastAsia="宋体" w:cs="宋体"/>
                <w:kern w:val="0"/>
                <w:szCs w:val="21"/>
              </w:rPr>
            </w:pPr>
          </w:p>
        </w:tc>
        <w:tc>
          <w:tcPr>
            <w:tcW w:w="1866" w:type="dxa"/>
            <w:vMerge w:val="continue"/>
            <w:vAlign w:val="center"/>
          </w:tcPr>
          <w:p w14:paraId="4D44A4AB">
            <w:pPr>
              <w:spacing w:after="62" w:line="400" w:lineRule="exact"/>
              <w:jc w:val="center"/>
              <w:rPr>
                <w:rFonts w:ascii="宋体" w:hAnsi="宋体" w:eastAsia="宋体" w:cs="宋体"/>
                <w:kern w:val="0"/>
                <w:szCs w:val="21"/>
              </w:rPr>
            </w:pPr>
          </w:p>
        </w:tc>
        <w:tc>
          <w:tcPr>
            <w:tcW w:w="3333" w:type="dxa"/>
            <w:vAlign w:val="center"/>
          </w:tcPr>
          <w:p w14:paraId="5D6E03C5">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HPE 3PAR StoreServ8200</w:t>
            </w:r>
          </w:p>
        </w:tc>
        <w:tc>
          <w:tcPr>
            <w:tcW w:w="926" w:type="dxa"/>
            <w:vAlign w:val="center"/>
          </w:tcPr>
          <w:p w14:paraId="609379A0">
            <w:pPr>
              <w:widowControl/>
              <w:spacing w:after="62" w:line="400" w:lineRule="exact"/>
              <w:jc w:val="center"/>
              <w:textAlignment w:val="center"/>
              <w:rPr>
                <w:rFonts w:ascii="宋体" w:hAnsi="宋体" w:eastAsia="宋体" w:cs="宋体"/>
                <w:szCs w:val="21"/>
              </w:rPr>
            </w:pPr>
            <w:r>
              <w:rPr>
                <w:rFonts w:ascii="宋体" w:hAnsi="宋体" w:eastAsia="宋体" w:cs="宋体"/>
                <w:szCs w:val="21"/>
              </w:rPr>
              <w:t>2</w:t>
            </w:r>
          </w:p>
        </w:tc>
        <w:tc>
          <w:tcPr>
            <w:tcW w:w="783" w:type="dxa"/>
            <w:vAlign w:val="center"/>
          </w:tcPr>
          <w:p w14:paraId="14ADDFE5">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D7315D3">
            <w:pPr>
              <w:widowControl/>
              <w:spacing w:after="62" w:line="400" w:lineRule="exact"/>
              <w:jc w:val="center"/>
              <w:rPr>
                <w:rFonts w:ascii="宋体" w:hAnsi="宋体" w:eastAsia="宋体" w:cs="宋体"/>
                <w:kern w:val="0"/>
                <w:szCs w:val="21"/>
              </w:rPr>
            </w:pPr>
          </w:p>
        </w:tc>
      </w:tr>
      <w:tr w14:paraId="01B7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52DCDDF9">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1866" w:type="dxa"/>
            <w:vAlign w:val="center"/>
          </w:tcPr>
          <w:p w14:paraId="7E3C73E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核心交换机</w:t>
            </w:r>
          </w:p>
        </w:tc>
        <w:tc>
          <w:tcPr>
            <w:tcW w:w="3333" w:type="dxa"/>
            <w:vAlign w:val="center"/>
          </w:tcPr>
          <w:p w14:paraId="7036FB3E">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H3C S7506E核心交换机</w:t>
            </w:r>
          </w:p>
        </w:tc>
        <w:tc>
          <w:tcPr>
            <w:tcW w:w="926" w:type="dxa"/>
            <w:vAlign w:val="center"/>
          </w:tcPr>
          <w:p w14:paraId="08517ED3">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2</w:t>
            </w:r>
          </w:p>
        </w:tc>
        <w:tc>
          <w:tcPr>
            <w:tcW w:w="783" w:type="dxa"/>
            <w:vAlign w:val="center"/>
          </w:tcPr>
          <w:p w14:paraId="397B1D86">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43287259">
            <w:pPr>
              <w:widowControl/>
              <w:spacing w:after="62" w:line="400" w:lineRule="exact"/>
              <w:jc w:val="center"/>
              <w:rPr>
                <w:rFonts w:ascii="宋体" w:hAnsi="宋体" w:eastAsia="宋体" w:cs="宋体"/>
                <w:kern w:val="0"/>
                <w:szCs w:val="21"/>
              </w:rPr>
            </w:pPr>
          </w:p>
        </w:tc>
      </w:tr>
      <w:tr w14:paraId="74A6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restart"/>
            <w:vAlign w:val="center"/>
          </w:tcPr>
          <w:p w14:paraId="0BB2C818">
            <w:pPr>
              <w:widowControl/>
              <w:spacing w:after="62" w:line="400" w:lineRule="exact"/>
              <w:jc w:val="center"/>
              <w:rPr>
                <w:rFonts w:ascii="宋体" w:hAnsi="宋体" w:eastAsia="宋体" w:cs="宋体"/>
                <w:kern w:val="0"/>
                <w:szCs w:val="21"/>
              </w:rPr>
            </w:pPr>
            <w:r>
              <w:rPr>
                <w:rFonts w:ascii="宋体" w:hAnsi="宋体" w:eastAsia="宋体" w:cs="宋体"/>
                <w:kern w:val="0"/>
                <w:szCs w:val="21"/>
              </w:rPr>
              <w:t>4</w:t>
            </w:r>
          </w:p>
        </w:tc>
        <w:tc>
          <w:tcPr>
            <w:tcW w:w="1866" w:type="dxa"/>
            <w:vMerge w:val="restart"/>
            <w:vAlign w:val="center"/>
          </w:tcPr>
          <w:p w14:paraId="64B30161">
            <w:pPr>
              <w:spacing w:after="62" w:line="400" w:lineRule="exact"/>
              <w:jc w:val="center"/>
              <w:rPr>
                <w:rFonts w:ascii="宋体" w:hAnsi="宋体" w:eastAsia="宋体" w:cs="宋体"/>
                <w:kern w:val="0"/>
                <w:szCs w:val="21"/>
              </w:rPr>
            </w:pPr>
            <w:r>
              <w:rPr>
                <w:rFonts w:hint="eastAsia" w:ascii="宋体" w:hAnsi="宋体" w:eastAsia="宋体" w:cs="宋体"/>
                <w:kern w:val="0"/>
                <w:szCs w:val="21"/>
              </w:rPr>
              <w:t>防火墙</w:t>
            </w:r>
          </w:p>
        </w:tc>
        <w:tc>
          <w:tcPr>
            <w:tcW w:w="3333" w:type="dxa"/>
            <w:vAlign w:val="center"/>
          </w:tcPr>
          <w:p w14:paraId="4248DD13">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H3C F1000-A-G2</w:t>
            </w:r>
          </w:p>
        </w:tc>
        <w:tc>
          <w:tcPr>
            <w:tcW w:w="926" w:type="dxa"/>
            <w:vAlign w:val="center"/>
          </w:tcPr>
          <w:p w14:paraId="0055FEE4">
            <w:pPr>
              <w:widowControl/>
              <w:spacing w:after="62" w:line="400" w:lineRule="exact"/>
              <w:jc w:val="center"/>
              <w:textAlignment w:val="center"/>
              <w:rPr>
                <w:rFonts w:ascii="宋体" w:hAnsi="宋体" w:eastAsia="宋体" w:cs="宋体"/>
                <w:szCs w:val="21"/>
              </w:rPr>
            </w:pPr>
            <w:r>
              <w:rPr>
                <w:rFonts w:ascii="宋体" w:hAnsi="宋体" w:eastAsia="宋体" w:cs="宋体"/>
                <w:kern w:val="0"/>
                <w:szCs w:val="21"/>
                <w:lang w:bidi="ar"/>
              </w:rPr>
              <w:t>3</w:t>
            </w:r>
          </w:p>
        </w:tc>
        <w:tc>
          <w:tcPr>
            <w:tcW w:w="783" w:type="dxa"/>
            <w:vAlign w:val="center"/>
          </w:tcPr>
          <w:p w14:paraId="7E20344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3481DA77">
            <w:pPr>
              <w:widowControl/>
              <w:spacing w:after="62" w:line="400" w:lineRule="exact"/>
              <w:jc w:val="center"/>
              <w:rPr>
                <w:rFonts w:ascii="宋体" w:hAnsi="宋体" w:eastAsia="宋体" w:cs="宋体"/>
                <w:kern w:val="0"/>
                <w:szCs w:val="21"/>
              </w:rPr>
            </w:pPr>
          </w:p>
        </w:tc>
      </w:tr>
      <w:tr w14:paraId="5FD0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3E1E635A">
            <w:pPr>
              <w:widowControl/>
              <w:spacing w:after="62" w:line="400" w:lineRule="exact"/>
              <w:jc w:val="center"/>
              <w:rPr>
                <w:rFonts w:ascii="宋体" w:hAnsi="宋体" w:eastAsia="宋体" w:cs="宋体"/>
                <w:kern w:val="0"/>
                <w:szCs w:val="21"/>
              </w:rPr>
            </w:pPr>
          </w:p>
        </w:tc>
        <w:tc>
          <w:tcPr>
            <w:tcW w:w="1866" w:type="dxa"/>
            <w:vMerge w:val="continue"/>
            <w:vAlign w:val="center"/>
          </w:tcPr>
          <w:p w14:paraId="2ED65B06">
            <w:pPr>
              <w:widowControl/>
              <w:spacing w:after="62" w:line="400" w:lineRule="exact"/>
              <w:jc w:val="center"/>
              <w:rPr>
                <w:rFonts w:ascii="宋体" w:hAnsi="宋体" w:eastAsia="宋体" w:cs="宋体"/>
                <w:kern w:val="0"/>
                <w:szCs w:val="21"/>
              </w:rPr>
            </w:pPr>
          </w:p>
        </w:tc>
        <w:tc>
          <w:tcPr>
            <w:tcW w:w="3333" w:type="dxa"/>
            <w:vAlign w:val="center"/>
          </w:tcPr>
          <w:p w14:paraId="706EBB29">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启明防火墙</w:t>
            </w:r>
          </w:p>
          <w:p w14:paraId="630F06C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USG-FW-4000-T-NF3100</w:t>
            </w:r>
          </w:p>
        </w:tc>
        <w:tc>
          <w:tcPr>
            <w:tcW w:w="926" w:type="dxa"/>
            <w:vAlign w:val="center"/>
          </w:tcPr>
          <w:p w14:paraId="52832BD9">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3</w:t>
            </w:r>
          </w:p>
        </w:tc>
        <w:tc>
          <w:tcPr>
            <w:tcW w:w="783" w:type="dxa"/>
            <w:vAlign w:val="center"/>
          </w:tcPr>
          <w:p w14:paraId="0D3608D7">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CFDCDE2">
            <w:pPr>
              <w:widowControl/>
              <w:spacing w:after="62" w:line="400" w:lineRule="exact"/>
              <w:jc w:val="center"/>
              <w:rPr>
                <w:rFonts w:ascii="宋体" w:hAnsi="宋体" w:eastAsia="宋体" w:cs="宋体"/>
                <w:kern w:val="0"/>
                <w:szCs w:val="21"/>
              </w:rPr>
            </w:pPr>
          </w:p>
        </w:tc>
      </w:tr>
      <w:tr w14:paraId="7894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56983E52">
            <w:pPr>
              <w:widowControl/>
              <w:spacing w:after="62" w:line="400" w:lineRule="exact"/>
              <w:jc w:val="center"/>
              <w:rPr>
                <w:rFonts w:ascii="宋体" w:hAnsi="宋体" w:eastAsia="宋体" w:cs="宋体"/>
                <w:kern w:val="0"/>
                <w:szCs w:val="21"/>
              </w:rPr>
            </w:pPr>
            <w:r>
              <w:rPr>
                <w:rFonts w:ascii="宋体" w:hAnsi="宋体" w:eastAsia="宋体" w:cs="宋体"/>
                <w:kern w:val="0"/>
                <w:szCs w:val="21"/>
              </w:rPr>
              <w:t>5</w:t>
            </w:r>
          </w:p>
        </w:tc>
        <w:tc>
          <w:tcPr>
            <w:tcW w:w="1866" w:type="dxa"/>
            <w:vAlign w:val="center"/>
          </w:tcPr>
          <w:p w14:paraId="299BB5D8">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Web应用防火墙</w:t>
            </w:r>
          </w:p>
        </w:tc>
        <w:tc>
          <w:tcPr>
            <w:tcW w:w="3333" w:type="dxa"/>
            <w:vAlign w:val="center"/>
          </w:tcPr>
          <w:p w14:paraId="559BE214">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深信服AF-1000-B1350-1K</w:t>
            </w:r>
          </w:p>
        </w:tc>
        <w:tc>
          <w:tcPr>
            <w:tcW w:w="926" w:type="dxa"/>
            <w:vAlign w:val="center"/>
          </w:tcPr>
          <w:p w14:paraId="583D0576">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380764CC">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0EB2B34A">
            <w:pPr>
              <w:widowControl/>
              <w:spacing w:after="62" w:line="400" w:lineRule="exact"/>
              <w:jc w:val="center"/>
              <w:rPr>
                <w:rFonts w:ascii="宋体" w:hAnsi="宋体" w:eastAsia="宋体" w:cs="宋体"/>
                <w:kern w:val="0"/>
                <w:szCs w:val="21"/>
              </w:rPr>
            </w:pPr>
          </w:p>
        </w:tc>
      </w:tr>
      <w:tr w14:paraId="4DE8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17" w:type="dxa"/>
            <w:vAlign w:val="center"/>
          </w:tcPr>
          <w:p w14:paraId="32758E47">
            <w:pPr>
              <w:widowControl/>
              <w:spacing w:after="62" w:line="400" w:lineRule="exact"/>
              <w:jc w:val="center"/>
              <w:rPr>
                <w:rFonts w:ascii="宋体" w:hAnsi="宋体" w:eastAsia="宋体" w:cs="宋体"/>
                <w:kern w:val="0"/>
                <w:szCs w:val="21"/>
              </w:rPr>
            </w:pPr>
            <w:r>
              <w:rPr>
                <w:rFonts w:ascii="宋体" w:hAnsi="宋体" w:eastAsia="宋体" w:cs="宋体"/>
                <w:kern w:val="0"/>
                <w:szCs w:val="21"/>
              </w:rPr>
              <w:t>6</w:t>
            </w:r>
          </w:p>
        </w:tc>
        <w:tc>
          <w:tcPr>
            <w:tcW w:w="1866" w:type="dxa"/>
            <w:vAlign w:val="center"/>
          </w:tcPr>
          <w:p w14:paraId="62DFFB5A">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IPS</w:t>
            </w:r>
          </w:p>
        </w:tc>
        <w:tc>
          <w:tcPr>
            <w:tcW w:w="3333" w:type="dxa"/>
            <w:vAlign w:val="center"/>
          </w:tcPr>
          <w:p w14:paraId="45BAA96D">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山石网科IPSSG6000-S1560</w:t>
            </w:r>
          </w:p>
        </w:tc>
        <w:tc>
          <w:tcPr>
            <w:tcW w:w="926" w:type="dxa"/>
            <w:vAlign w:val="center"/>
          </w:tcPr>
          <w:p w14:paraId="25028C7F">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6DD4AC11">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12D9F067">
            <w:pPr>
              <w:widowControl/>
              <w:spacing w:after="62" w:line="400" w:lineRule="exact"/>
              <w:jc w:val="center"/>
              <w:rPr>
                <w:rFonts w:ascii="宋体" w:hAnsi="宋体" w:eastAsia="宋体" w:cs="宋体"/>
                <w:kern w:val="0"/>
                <w:szCs w:val="21"/>
              </w:rPr>
            </w:pPr>
          </w:p>
        </w:tc>
      </w:tr>
      <w:tr w14:paraId="5F50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7" w:type="dxa"/>
            <w:vAlign w:val="center"/>
          </w:tcPr>
          <w:p w14:paraId="5B1651B4">
            <w:pPr>
              <w:widowControl/>
              <w:spacing w:after="62" w:line="400" w:lineRule="exact"/>
              <w:jc w:val="center"/>
              <w:rPr>
                <w:rFonts w:ascii="宋体" w:hAnsi="宋体" w:eastAsia="宋体" w:cs="宋体"/>
                <w:kern w:val="0"/>
                <w:szCs w:val="21"/>
              </w:rPr>
            </w:pPr>
            <w:r>
              <w:rPr>
                <w:rFonts w:ascii="宋体" w:hAnsi="宋体" w:eastAsia="宋体" w:cs="宋体"/>
                <w:kern w:val="0"/>
                <w:szCs w:val="21"/>
              </w:rPr>
              <w:t>7</w:t>
            </w:r>
          </w:p>
        </w:tc>
        <w:tc>
          <w:tcPr>
            <w:tcW w:w="1866" w:type="dxa"/>
            <w:vAlign w:val="center"/>
          </w:tcPr>
          <w:p w14:paraId="0249582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堡垒机</w:t>
            </w:r>
          </w:p>
        </w:tc>
        <w:tc>
          <w:tcPr>
            <w:tcW w:w="3333" w:type="dxa"/>
            <w:vAlign w:val="center"/>
          </w:tcPr>
          <w:p w14:paraId="52C6DFDA">
            <w:pPr>
              <w:spacing w:after="62" w:line="400" w:lineRule="exact"/>
              <w:jc w:val="center"/>
              <w:textAlignment w:val="center"/>
              <w:rPr>
                <w:rFonts w:ascii="宋体" w:hAnsi="宋体" w:eastAsia="宋体" w:cs="宋体"/>
                <w:szCs w:val="21"/>
              </w:rPr>
            </w:pPr>
            <w:r>
              <w:rPr>
                <w:rFonts w:hint="eastAsia" w:ascii="宋体" w:hAnsi="宋体" w:eastAsia="宋体" w:cs="宋体"/>
                <w:szCs w:val="21"/>
              </w:rPr>
              <w:t>深信服OSM-1000-A600-1K</w:t>
            </w:r>
          </w:p>
        </w:tc>
        <w:tc>
          <w:tcPr>
            <w:tcW w:w="926" w:type="dxa"/>
            <w:vAlign w:val="center"/>
          </w:tcPr>
          <w:p w14:paraId="32867D53">
            <w:pPr>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6C829C70">
            <w:pPr>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9B852DF">
            <w:pPr>
              <w:widowControl/>
              <w:spacing w:after="62" w:line="400" w:lineRule="exact"/>
              <w:jc w:val="center"/>
              <w:rPr>
                <w:rFonts w:ascii="宋体" w:hAnsi="宋体" w:eastAsia="宋体" w:cs="宋体"/>
                <w:kern w:val="0"/>
                <w:szCs w:val="21"/>
              </w:rPr>
            </w:pPr>
          </w:p>
        </w:tc>
      </w:tr>
      <w:tr w14:paraId="51BC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3F09360D">
            <w:pPr>
              <w:widowControl/>
              <w:spacing w:after="62" w:line="400" w:lineRule="exact"/>
              <w:jc w:val="center"/>
              <w:rPr>
                <w:rFonts w:ascii="宋体" w:hAnsi="宋体" w:eastAsia="宋体" w:cs="宋体"/>
                <w:kern w:val="0"/>
                <w:szCs w:val="21"/>
              </w:rPr>
            </w:pPr>
            <w:r>
              <w:rPr>
                <w:rFonts w:ascii="宋体" w:hAnsi="宋体" w:eastAsia="宋体" w:cs="宋体"/>
                <w:kern w:val="0"/>
                <w:szCs w:val="21"/>
              </w:rPr>
              <w:t>8</w:t>
            </w:r>
          </w:p>
        </w:tc>
        <w:tc>
          <w:tcPr>
            <w:tcW w:w="1866" w:type="dxa"/>
            <w:vAlign w:val="center"/>
          </w:tcPr>
          <w:p w14:paraId="5F6B66E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漏洞扫描</w:t>
            </w:r>
          </w:p>
        </w:tc>
        <w:tc>
          <w:tcPr>
            <w:tcW w:w="3333" w:type="dxa"/>
            <w:vAlign w:val="center"/>
          </w:tcPr>
          <w:p w14:paraId="36570E5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启明星辰漏洞扫描</w:t>
            </w:r>
          </w:p>
          <w:p w14:paraId="44CD434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TJCS-NS-H</w:t>
            </w:r>
          </w:p>
        </w:tc>
        <w:tc>
          <w:tcPr>
            <w:tcW w:w="926" w:type="dxa"/>
            <w:vAlign w:val="center"/>
          </w:tcPr>
          <w:p w14:paraId="119B767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141D052F">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385C8DE7">
            <w:pPr>
              <w:widowControl/>
              <w:spacing w:after="62" w:line="400" w:lineRule="exact"/>
              <w:jc w:val="center"/>
              <w:rPr>
                <w:rFonts w:ascii="宋体" w:hAnsi="宋体" w:eastAsia="宋体" w:cs="宋体"/>
                <w:kern w:val="0"/>
                <w:szCs w:val="21"/>
              </w:rPr>
            </w:pPr>
          </w:p>
        </w:tc>
      </w:tr>
      <w:tr w14:paraId="4D77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4DA241FC">
            <w:pPr>
              <w:widowControl/>
              <w:spacing w:after="62" w:line="400" w:lineRule="exact"/>
              <w:jc w:val="center"/>
              <w:rPr>
                <w:rFonts w:ascii="宋体" w:hAnsi="宋体" w:eastAsia="宋体" w:cs="宋体"/>
                <w:kern w:val="0"/>
                <w:szCs w:val="21"/>
              </w:rPr>
            </w:pPr>
            <w:r>
              <w:rPr>
                <w:rFonts w:ascii="宋体" w:hAnsi="宋体" w:eastAsia="宋体" w:cs="宋体"/>
                <w:kern w:val="0"/>
                <w:szCs w:val="21"/>
              </w:rPr>
              <w:t>9</w:t>
            </w:r>
          </w:p>
        </w:tc>
        <w:tc>
          <w:tcPr>
            <w:tcW w:w="1866" w:type="dxa"/>
            <w:vAlign w:val="center"/>
          </w:tcPr>
          <w:p w14:paraId="64CA4CE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高级威胁检测</w:t>
            </w:r>
          </w:p>
        </w:tc>
        <w:tc>
          <w:tcPr>
            <w:tcW w:w="3333" w:type="dxa"/>
            <w:vAlign w:val="center"/>
          </w:tcPr>
          <w:p w14:paraId="3FF4B9B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启明星辰高级威胁检测</w:t>
            </w:r>
          </w:p>
          <w:p w14:paraId="2A84A69A">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APT800</w:t>
            </w:r>
          </w:p>
        </w:tc>
        <w:tc>
          <w:tcPr>
            <w:tcW w:w="926" w:type="dxa"/>
            <w:vAlign w:val="center"/>
          </w:tcPr>
          <w:p w14:paraId="3DF8199E">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71FB9AA9">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5C69448C">
            <w:pPr>
              <w:widowControl/>
              <w:spacing w:after="62" w:line="400" w:lineRule="exact"/>
              <w:jc w:val="center"/>
              <w:rPr>
                <w:rFonts w:ascii="宋体" w:hAnsi="宋体" w:eastAsia="宋体" w:cs="宋体"/>
                <w:kern w:val="0"/>
                <w:szCs w:val="21"/>
              </w:rPr>
            </w:pPr>
          </w:p>
        </w:tc>
      </w:tr>
      <w:tr w14:paraId="6FC8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7F2E3C67">
            <w:pPr>
              <w:widowControl/>
              <w:spacing w:after="62" w:line="400" w:lineRule="exact"/>
              <w:jc w:val="center"/>
              <w:rPr>
                <w:rFonts w:ascii="宋体" w:hAnsi="宋体" w:eastAsia="宋体" w:cs="宋体"/>
                <w:kern w:val="0"/>
                <w:szCs w:val="21"/>
              </w:rPr>
            </w:pPr>
            <w:r>
              <w:rPr>
                <w:rFonts w:ascii="宋体" w:hAnsi="宋体" w:eastAsia="宋体" w:cs="宋体"/>
                <w:kern w:val="0"/>
                <w:szCs w:val="21"/>
              </w:rPr>
              <w:t>10</w:t>
            </w:r>
          </w:p>
        </w:tc>
        <w:tc>
          <w:tcPr>
            <w:tcW w:w="1866" w:type="dxa"/>
            <w:vAlign w:val="center"/>
          </w:tcPr>
          <w:p w14:paraId="2BD026A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日志审计系统</w:t>
            </w:r>
          </w:p>
        </w:tc>
        <w:tc>
          <w:tcPr>
            <w:tcW w:w="3333" w:type="dxa"/>
            <w:vAlign w:val="center"/>
          </w:tcPr>
          <w:p w14:paraId="71F7CE3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天融信日志审计系统TopAudit</w:t>
            </w:r>
            <w:r>
              <w:rPr>
                <w:rFonts w:ascii="宋体" w:hAnsi="宋体" w:eastAsia="宋体" w:cs="宋体"/>
                <w:szCs w:val="21"/>
              </w:rPr>
              <w:t>-</w:t>
            </w:r>
            <w:r>
              <w:rPr>
                <w:rFonts w:hint="eastAsia" w:ascii="宋体" w:hAnsi="宋体" w:eastAsia="宋体" w:cs="宋体"/>
                <w:szCs w:val="21"/>
              </w:rPr>
              <w:t>Log</w:t>
            </w:r>
          </w:p>
        </w:tc>
        <w:tc>
          <w:tcPr>
            <w:tcW w:w="926" w:type="dxa"/>
            <w:vAlign w:val="center"/>
          </w:tcPr>
          <w:p w14:paraId="4AAE4EF9">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1C187536">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7155486B">
            <w:pPr>
              <w:widowControl/>
              <w:spacing w:after="62" w:line="400" w:lineRule="exact"/>
              <w:jc w:val="center"/>
              <w:rPr>
                <w:rFonts w:ascii="宋体" w:hAnsi="宋体" w:eastAsia="宋体" w:cs="宋体"/>
                <w:kern w:val="0"/>
                <w:szCs w:val="21"/>
              </w:rPr>
            </w:pPr>
          </w:p>
        </w:tc>
      </w:tr>
      <w:tr w14:paraId="0A73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6D68BF26">
            <w:pPr>
              <w:widowControl/>
              <w:spacing w:after="62" w:line="400" w:lineRule="exact"/>
              <w:jc w:val="center"/>
              <w:rPr>
                <w:rFonts w:ascii="宋体" w:hAnsi="宋体" w:eastAsia="宋体" w:cs="宋体"/>
                <w:kern w:val="0"/>
                <w:szCs w:val="21"/>
              </w:rPr>
            </w:pPr>
            <w:r>
              <w:rPr>
                <w:rFonts w:ascii="宋体" w:hAnsi="宋体" w:eastAsia="宋体" w:cs="宋体"/>
                <w:kern w:val="0"/>
                <w:szCs w:val="21"/>
              </w:rPr>
              <w:t>11</w:t>
            </w:r>
          </w:p>
        </w:tc>
        <w:tc>
          <w:tcPr>
            <w:tcW w:w="1866" w:type="dxa"/>
            <w:vAlign w:val="center"/>
          </w:tcPr>
          <w:p w14:paraId="6679FE1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数据库审计</w:t>
            </w:r>
          </w:p>
        </w:tc>
        <w:tc>
          <w:tcPr>
            <w:tcW w:w="3333" w:type="dxa"/>
            <w:vAlign w:val="center"/>
          </w:tcPr>
          <w:p w14:paraId="7115270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启明星辰数据库审计</w:t>
            </w:r>
          </w:p>
          <w:p w14:paraId="5387D2C5">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DA-1100-U-TC</w:t>
            </w:r>
          </w:p>
        </w:tc>
        <w:tc>
          <w:tcPr>
            <w:tcW w:w="926" w:type="dxa"/>
            <w:vAlign w:val="center"/>
          </w:tcPr>
          <w:p w14:paraId="1CADC07C">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50BE249F">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298FBDDB">
            <w:pPr>
              <w:widowControl/>
              <w:spacing w:after="62" w:line="400" w:lineRule="exact"/>
              <w:jc w:val="center"/>
              <w:rPr>
                <w:rFonts w:ascii="宋体" w:hAnsi="宋体" w:eastAsia="宋体" w:cs="宋体"/>
                <w:kern w:val="0"/>
                <w:szCs w:val="21"/>
              </w:rPr>
            </w:pPr>
          </w:p>
        </w:tc>
      </w:tr>
      <w:tr w14:paraId="0F35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03C79242">
            <w:pPr>
              <w:widowControl/>
              <w:spacing w:after="62" w:line="400" w:lineRule="exact"/>
              <w:jc w:val="center"/>
              <w:rPr>
                <w:rFonts w:ascii="宋体" w:hAnsi="宋体" w:eastAsia="宋体" w:cs="宋体"/>
                <w:kern w:val="0"/>
                <w:szCs w:val="21"/>
              </w:rPr>
            </w:pPr>
            <w:r>
              <w:rPr>
                <w:rFonts w:ascii="宋体" w:hAnsi="宋体" w:eastAsia="宋体" w:cs="宋体"/>
                <w:kern w:val="0"/>
                <w:szCs w:val="21"/>
              </w:rPr>
              <w:t>12</w:t>
            </w:r>
          </w:p>
        </w:tc>
        <w:tc>
          <w:tcPr>
            <w:tcW w:w="1866" w:type="dxa"/>
            <w:vAlign w:val="center"/>
          </w:tcPr>
          <w:p w14:paraId="1A42A979">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lang w:bidi="ar"/>
              </w:rPr>
              <w:t>SAN交换机</w:t>
            </w:r>
          </w:p>
        </w:tc>
        <w:tc>
          <w:tcPr>
            <w:tcW w:w="3333" w:type="dxa"/>
            <w:vAlign w:val="center"/>
          </w:tcPr>
          <w:p w14:paraId="0A6C42FA">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HPE 8/24 SAN Switch</w:t>
            </w:r>
          </w:p>
        </w:tc>
        <w:tc>
          <w:tcPr>
            <w:tcW w:w="926" w:type="dxa"/>
            <w:vAlign w:val="center"/>
          </w:tcPr>
          <w:p w14:paraId="76523740">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3" w:type="dxa"/>
            <w:vAlign w:val="center"/>
          </w:tcPr>
          <w:p w14:paraId="4B1E8890">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D69CEF5">
            <w:pPr>
              <w:widowControl/>
              <w:spacing w:after="62" w:line="400" w:lineRule="exact"/>
              <w:jc w:val="center"/>
              <w:rPr>
                <w:rFonts w:ascii="宋体" w:hAnsi="宋体" w:eastAsia="宋体" w:cs="宋体"/>
                <w:kern w:val="0"/>
                <w:szCs w:val="21"/>
              </w:rPr>
            </w:pPr>
          </w:p>
        </w:tc>
      </w:tr>
      <w:tr w14:paraId="48FA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1592B9EE">
            <w:pPr>
              <w:widowControl/>
              <w:spacing w:after="62" w:line="400" w:lineRule="exact"/>
              <w:jc w:val="center"/>
              <w:rPr>
                <w:rFonts w:ascii="宋体" w:hAnsi="宋体" w:eastAsia="宋体" w:cs="宋体"/>
                <w:kern w:val="0"/>
                <w:szCs w:val="21"/>
              </w:rPr>
            </w:pPr>
            <w:r>
              <w:rPr>
                <w:rFonts w:ascii="宋体" w:hAnsi="宋体" w:eastAsia="宋体" w:cs="宋体"/>
                <w:kern w:val="0"/>
                <w:szCs w:val="21"/>
              </w:rPr>
              <w:t>13</w:t>
            </w:r>
          </w:p>
        </w:tc>
        <w:tc>
          <w:tcPr>
            <w:tcW w:w="1866" w:type="dxa"/>
            <w:vAlign w:val="center"/>
          </w:tcPr>
          <w:p w14:paraId="38F390D7">
            <w:pPr>
              <w:widowControl/>
              <w:spacing w:after="62" w:line="400" w:lineRule="exact"/>
              <w:jc w:val="center"/>
              <w:rPr>
                <w:rFonts w:ascii="宋体" w:hAnsi="宋体" w:eastAsia="宋体" w:cs="宋体"/>
                <w:kern w:val="0"/>
                <w:szCs w:val="21"/>
                <w:lang w:bidi="ar"/>
              </w:rPr>
            </w:pPr>
            <w:r>
              <w:rPr>
                <w:rFonts w:hint="eastAsia" w:ascii="宋体" w:hAnsi="宋体" w:eastAsia="宋体" w:cs="宋体"/>
                <w:kern w:val="0"/>
                <w:szCs w:val="21"/>
                <w:lang w:bidi="ar"/>
              </w:rPr>
              <w:t>双机软件</w:t>
            </w:r>
          </w:p>
        </w:tc>
        <w:tc>
          <w:tcPr>
            <w:tcW w:w="3333" w:type="dxa"/>
            <w:vAlign w:val="center"/>
          </w:tcPr>
          <w:p w14:paraId="7308567A">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ROSE HA</w:t>
            </w:r>
          </w:p>
        </w:tc>
        <w:tc>
          <w:tcPr>
            <w:tcW w:w="926" w:type="dxa"/>
            <w:vAlign w:val="center"/>
          </w:tcPr>
          <w:p w14:paraId="21EA8660">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3D31D4B0">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套</w:t>
            </w:r>
          </w:p>
        </w:tc>
        <w:tc>
          <w:tcPr>
            <w:tcW w:w="1574" w:type="dxa"/>
            <w:vAlign w:val="center"/>
          </w:tcPr>
          <w:p w14:paraId="3BB9262D">
            <w:pPr>
              <w:widowControl/>
              <w:spacing w:after="62" w:line="400" w:lineRule="exact"/>
              <w:jc w:val="center"/>
              <w:rPr>
                <w:rFonts w:ascii="宋体" w:hAnsi="宋体" w:eastAsia="宋体" w:cs="宋体"/>
                <w:kern w:val="0"/>
                <w:szCs w:val="21"/>
              </w:rPr>
            </w:pPr>
          </w:p>
        </w:tc>
      </w:tr>
      <w:tr w14:paraId="17FC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453DF272">
            <w:pPr>
              <w:widowControl/>
              <w:spacing w:after="62" w:line="400" w:lineRule="exact"/>
              <w:jc w:val="center"/>
              <w:rPr>
                <w:rFonts w:ascii="宋体" w:hAnsi="宋体" w:eastAsia="宋体" w:cs="宋体"/>
                <w:kern w:val="0"/>
                <w:szCs w:val="21"/>
              </w:rPr>
            </w:pPr>
            <w:r>
              <w:rPr>
                <w:rFonts w:ascii="宋体" w:hAnsi="宋体" w:eastAsia="宋体" w:cs="宋体"/>
                <w:kern w:val="0"/>
                <w:szCs w:val="21"/>
              </w:rPr>
              <w:t>14</w:t>
            </w:r>
          </w:p>
        </w:tc>
        <w:tc>
          <w:tcPr>
            <w:tcW w:w="1866" w:type="dxa"/>
            <w:vAlign w:val="center"/>
          </w:tcPr>
          <w:p w14:paraId="748AE1A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布线系统维护</w:t>
            </w:r>
          </w:p>
        </w:tc>
        <w:tc>
          <w:tcPr>
            <w:tcW w:w="3333" w:type="dxa"/>
            <w:vAlign w:val="center"/>
          </w:tcPr>
          <w:p w14:paraId="0EFF55CE">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网络线路（含院内电话线路）及信息点位维护，包含含配线架、模块、面板、跳线等。</w:t>
            </w:r>
          </w:p>
        </w:tc>
        <w:tc>
          <w:tcPr>
            <w:tcW w:w="926" w:type="dxa"/>
            <w:vAlign w:val="center"/>
          </w:tcPr>
          <w:p w14:paraId="748B71CF">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249A185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批</w:t>
            </w:r>
          </w:p>
        </w:tc>
        <w:tc>
          <w:tcPr>
            <w:tcW w:w="1574" w:type="dxa"/>
            <w:vAlign w:val="center"/>
          </w:tcPr>
          <w:p w14:paraId="46A3E106">
            <w:pPr>
              <w:widowControl/>
              <w:spacing w:after="62" w:line="400" w:lineRule="exact"/>
              <w:jc w:val="center"/>
              <w:rPr>
                <w:rFonts w:ascii="宋体" w:hAnsi="宋体" w:eastAsia="宋体" w:cs="宋体"/>
                <w:kern w:val="0"/>
                <w:szCs w:val="21"/>
              </w:rPr>
            </w:pPr>
          </w:p>
        </w:tc>
      </w:tr>
    </w:tbl>
    <w:p w14:paraId="59C27835">
      <w:pPr>
        <w:pStyle w:val="3"/>
        <w:numPr>
          <w:ilvl w:val="0"/>
          <w:numId w:val="0"/>
        </w:numPr>
        <w:spacing w:before="156" w:after="62"/>
        <w:ind w:left="141"/>
        <w:rPr>
          <w:snapToGrid/>
          <w:color w:val="auto"/>
          <w:kern w:val="2"/>
          <w:sz w:val="21"/>
          <w:szCs w:val="21"/>
          <w:lang w:eastAsia="zh-CN"/>
        </w:rPr>
      </w:pPr>
      <w:r>
        <w:rPr>
          <w:rFonts w:hint="eastAsia"/>
          <w:snapToGrid/>
          <w:color w:val="auto"/>
          <w:kern w:val="2"/>
          <w:sz w:val="21"/>
          <w:szCs w:val="21"/>
          <w:lang w:eastAsia="zh-CN"/>
        </w:rPr>
        <w:t>（一）项目人员要求</w:t>
      </w:r>
    </w:p>
    <w:p w14:paraId="148A7228">
      <w:pPr>
        <w:spacing w:after="62"/>
        <w:ind w:firstLine="420" w:firstLineChars="200"/>
        <w:rPr>
          <w:rFonts w:ascii="宋体" w:hAnsi="宋体" w:eastAsia="宋体" w:cs="宋体"/>
          <w:bCs/>
          <w:szCs w:val="21"/>
        </w:rPr>
      </w:pPr>
      <w:r>
        <w:rPr>
          <w:rFonts w:ascii="宋体" w:hAnsi="宋体" w:eastAsia="宋体" w:cs="宋体"/>
          <w:bCs/>
          <w:szCs w:val="21"/>
        </w:rPr>
        <w:t>1</w:t>
      </w:r>
      <w:r>
        <w:rPr>
          <w:rFonts w:hint="eastAsia" w:ascii="宋体" w:hAnsi="宋体" w:eastAsia="宋体" w:cs="宋体"/>
          <w:bCs/>
          <w:szCs w:val="21"/>
        </w:rPr>
        <w:t>、本次服务维护期间，项目服务团队不得少于3人（项目经理、技术负责人各1名以及现场驻点服务人员</w:t>
      </w:r>
      <w:r>
        <w:rPr>
          <w:rFonts w:ascii="宋体" w:hAnsi="宋体" w:eastAsia="宋体" w:cs="宋体"/>
          <w:bCs/>
          <w:szCs w:val="21"/>
        </w:rPr>
        <w:t>1</w:t>
      </w:r>
      <w:r>
        <w:rPr>
          <w:rFonts w:hint="eastAsia" w:ascii="宋体" w:hAnsi="宋体" w:eastAsia="宋体" w:cs="宋体"/>
          <w:bCs/>
          <w:szCs w:val="21"/>
        </w:rPr>
        <w:t>名），服务团队提供近6个月的社保证明，未经招标人同意，不得在服务期内更换服务团队成员；</w:t>
      </w:r>
    </w:p>
    <w:p w14:paraId="4E5DA72E">
      <w:pPr>
        <w:spacing w:after="62"/>
        <w:ind w:firstLine="420" w:firstLineChars="200"/>
        <w:rPr>
          <w:rFonts w:hint="eastAsia" w:ascii="宋体" w:hAnsi="宋体" w:eastAsia="宋体" w:cs="宋体"/>
          <w:bCs/>
          <w:szCs w:val="21"/>
          <w:lang w:val="en-US" w:eastAsia="zh-CN"/>
        </w:rPr>
      </w:pPr>
      <w:r>
        <w:rPr>
          <w:rFonts w:ascii="宋体" w:hAnsi="宋体" w:eastAsia="宋体" w:cs="宋体"/>
          <w:bCs/>
          <w:szCs w:val="21"/>
        </w:rPr>
        <w:t>2</w:t>
      </w:r>
      <w:r>
        <w:rPr>
          <w:rFonts w:hint="eastAsia" w:ascii="宋体" w:hAnsi="宋体" w:eastAsia="宋体" w:cs="宋体"/>
          <w:bCs/>
          <w:szCs w:val="21"/>
        </w:rPr>
        <w:t>、项目经理负责整个维保项目工作，不需要在招标方驻点，但在招标人要求时必须</w:t>
      </w:r>
      <w:r>
        <w:rPr>
          <w:rFonts w:ascii="宋体" w:hAnsi="宋体" w:eastAsia="宋体" w:cs="宋体"/>
          <w:bCs/>
          <w:szCs w:val="21"/>
        </w:rPr>
        <w:t>3</w:t>
      </w:r>
      <w:r>
        <w:rPr>
          <w:rFonts w:hint="eastAsia" w:ascii="宋体" w:hAnsi="宋体" w:eastAsia="宋体" w:cs="宋体"/>
          <w:bCs/>
          <w:szCs w:val="21"/>
        </w:rPr>
        <w:t>小时内到达现场，</w:t>
      </w:r>
      <w:r>
        <w:rPr>
          <w:rFonts w:hint="eastAsia" w:ascii="宋体" w:hAnsi="宋体" w:eastAsia="宋体" w:cs="宋体"/>
          <w:b/>
          <w:bCs/>
          <w:szCs w:val="21"/>
        </w:rPr>
        <w:t>驻点服务人员提供7*24小时医院现场驻场服务</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并于南区网信处进行每</w:t>
      </w:r>
      <w:r>
        <w:rPr>
          <w:rFonts w:hint="eastAsia" w:ascii="宋体" w:hAnsi="宋体" w:eastAsia="宋体" w:cs="宋体"/>
          <w:bCs/>
          <w:szCs w:val="21"/>
          <w:lang w:val="en-US" w:eastAsia="zh-CN"/>
        </w:rPr>
        <w:t>日打卡签到。</w:t>
      </w:r>
    </w:p>
    <w:p w14:paraId="2C085BA7">
      <w:pPr>
        <w:spacing w:after="62"/>
        <w:ind w:firstLine="420" w:firstLineChars="200"/>
        <w:rPr>
          <w:rFonts w:hint="eastAsia" w:ascii="宋体" w:hAnsi="宋体" w:eastAsia="宋体" w:cs="宋体"/>
          <w:bCs/>
          <w:szCs w:val="21"/>
          <w:lang w:val="en-US" w:eastAsia="zh-CN"/>
        </w:rPr>
      </w:pPr>
      <w:r>
        <w:rPr>
          <w:rFonts w:hint="eastAsia" w:ascii="宋体" w:hAnsi="宋体" w:eastAsia="宋体" w:cs="宋体"/>
          <w:bCs/>
          <w:szCs w:val="21"/>
          <w:lang w:val="en-US" w:eastAsia="zh-CN"/>
        </w:rPr>
        <w:t>3、项目服务团队不得少于4人（项目经理、技术负责人各一名以及现场驻点人员2名）</w:t>
      </w:r>
    </w:p>
    <w:p w14:paraId="387D8859">
      <w:pPr>
        <w:spacing w:after="62"/>
        <w:ind w:firstLine="420" w:firstLineChars="200"/>
        <w:rPr>
          <w:rFonts w:hint="default" w:ascii="宋体" w:hAnsi="宋体" w:eastAsia="宋体" w:cs="宋体"/>
          <w:bCs/>
          <w:szCs w:val="21"/>
          <w:lang w:val="en-US" w:eastAsia="zh-CN"/>
        </w:rPr>
      </w:pPr>
      <w:r>
        <w:rPr>
          <w:rFonts w:hint="eastAsia" w:ascii="宋体" w:hAnsi="宋体" w:eastAsia="宋体" w:cs="宋体"/>
          <w:bCs/>
          <w:szCs w:val="21"/>
          <w:lang w:val="en-US" w:eastAsia="zh-CN"/>
        </w:rPr>
        <w:t>4、驻点运维人员2人。</w:t>
      </w:r>
    </w:p>
    <w:p w14:paraId="1E4A2766">
      <w:pPr>
        <w:spacing w:after="62"/>
        <w:ind w:firstLine="420" w:firstLineChars="200"/>
        <w:rPr>
          <w:rFonts w:hint="eastAsia" w:ascii="宋体" w:hAnsi="宋体" w:eastAsia="宋体" w:cs="宋体"/>
          <w:bCs/>
          <w:szCs w:val="21"/>
        </w:rPr>
      </w:pPr>
      <w:r>
        <w:rPr>
          <w:rFonts w:hint="eastAsia" w:ascii="宋体" w:hAnsi="宋体" w:eastAsia="宋体" w:cs="宋体"/>
          <w:bCs/>
          <w:szCs w:val="21"/>
          <w:lang w:val="en-US" w:eastAsia="zh-CN"/>
        </w:rPr>
        <w:t>5、</w:t>
      </w:r>
      <w:r>
        <w:rPr>
          <w:rFonts w:hint="eastAsia" w:ascii="宋体" w:hAnsi="宋体" w:eastAsia="宋体" w:cs="宋体"/>
          <w:bCs/>
          <w:szCs w:val="21"/>
        </w:rPr>
        <w:t>投标人投标时须提供7*24小时医院现场驻场服务承诺函，格式自理，未提供则投标无效。</w:t>
      </w:r>
    </w:p>
    <w:p w14:paraId="611B1823">
      <w:pPr>
        <w:pStyle w:val="3"/>
        <w:numPr>
          <w:ilvl w:val="0"/>
          <w:numId w:val="0"/>
        </w:numPr>
        <w:spacing w:before="156" w:after="62"/>
        <w:ind w:left="141"/>
        <w:rPr>
          <w:bCs w:val="0"/>
          <w:snapToGrid/>
          <w:color w:val="auto"/>
          <w:kern w:val="2"/>
          <w:sz w:val="21"/>
          <w:szCs w:val="21"/>
          <w:lang w:eastAsia="zh-CN"/>
        </w:rPr>
      </w:pPr>
      <w:r>
        <w:rPr>
          <w:rFonts w:hint="eastAsia"/>
          <w:snapToGrid/>
          <w:color w:val="auto"/>
          <w:kern w:val="2"/>
          <w:sz w:val="21"/>
          <w:szCs w:val="21"/>
          <w:lang w:eastAsia="zh-CN"/>
        </w:rPr>
        <w:t>（二）</w:t>
      </w:r>
      <w:r>
        <w:rPr>
          <w:rFonts w:hint="eastAsia"/>
          <w:bCs w:val="0"/>
          <w:snapToGrid/>
          <w:color w:val="auto"/>
          <w:kern w:val="2"/>
          <w:sz w:val="21"/>
          <w:szCs w:val="21"/>
          <w:lang w:eastAsia="zh-CN"/>
        </w:rPr>
        <w:t>服务内容</w:t>
      </w:r>
    </w:p>
    <w:p w14:paraId="6779EB73">
      <w:pPr>
        <w:pStyle w:val="45"/>
        <w:spacing w:after="62"/>
        <w:ind w:firstLine="210" w:firstLineChars="10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、投标人对《维保设备清单》中的软硬件设备发生的所有故障提供全保维保服务。</w:t>
      </w:r>
    </w:p>
    <w:p w14:paraId="5C0B3D90">
      <w:pPr>
        <w:spacing w:after="62"/>
        <w:ind w:firstLine="210" w:firstLineChars="100"/>
        <w:rPr>
          <w:rFonts w:ascii="宋体" w:hAnsi="宋体" w:eastAsia="宋体" w:cs="宋体"/>
          <w:szCs w:val="21"/>
        </w:rPr>
      </w:pPr>
      <w:bookmarkStart w:id="0" w:name="_Toc428456847"/>
      <w:r>
        <w:rPr>
          <w:rFonts w:hint="eastAsia" w:ascii="宋体" w:hAnsi="宋体" w:eastAsia="宋体" w:cs="宋体"/>
          <w:szCs w:val="21"/>
        </w:rPr>
        <w:t>2、巡检服务要求：每月度应提供一次现场巡检服务，对招标人维保对象全面监视和检查，巡检后提供书面报告。</w:t>
      </w:r>
    </w:p>
    <w:p w14:paraId="4BDF07FE">
      <w:pPr>
        <w:spacing w:after="62"/>
        <w:ind w:firstLine="210" w:firstLineChars="100"/>
        <w:rPr>
          <w:rFonts w:ascii="宋体" w:hAnsi="宋体" w:eastAsia="宋体" w:cs="宋体"/>
          <w:szCs w:val="21"/>
        </w:rPr>
      </w:pPr>
      <w:r>
        <w:rPr>
          <w:rFonts w:hint="eastAsia" w:ascii="宋体" w:hAnsi="宋体" w:eastAsia="宋体" w:cs="宋体"/>
          <w:szCs w:val="21"/>
        </w:rPr>
        <w:t>3、日常运维服务：维保设备日常运维、监视并优化网络运行、弱电井巡检等。</w:t>
      </w:r>
    </w:p>
    <w:p w14:paraId="464281DA">
      <w:pPr>
        <w:spacing w:after="62"/>
        <w:ind w:firstLine="210" w:firstLineChars="10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、故障修复服务</w:t>
      </w:r>
    </w:p>
    <w:p w14:paraId="0AA3A692">
      <w:pPr>
        <w:spacing w:after="62" w:line="360" w:lineRule="auto"/>
        <w:ind w:firstLine="420" w:firstLineChars="200"/>
        <w:rPr>
          <w:rFonts w:ascii="宋体" w:hAnsi="宋体" w:eastAsia="宋体" w:cs="宋体"/>
          <w:szCs w:val="21"/>
        </w:rPr>
      </w:pPr>
      <w:r>
        <w:rPr>
          <w:rFonts w:hint="eastAsia" w:ascii="宋体" w:hAnsi="宋体" w:eastAsia="宋体" w:cs="宋体"/>
          <w:szCs w:val="21"/>
        </w:rPr>
        <w:t>（1）根据故障的严重程度和影响程度的不同，故障级别由低到高分为三级故障、二级故障、一级故障。当故障没有在规定时限内恢复或解决时，故障级别将自动升级。一级故障（重大故障）:指维保对象在运行中出现系统瘫痪或服务中断，导致维保对象的基本功能不能实现。二级故障（主要故障）:指维保对象在运行中出现的直接影响服务，导致系统性能或服务部分退化的故障；三级故障（次要故障）:指维保对象在运行中出现的，影响系统功能和性能，但关键业务不受影响的各类故障。</w:t>
      </w:r>
    </w:p>
    <w:p w14:paraId="4339E729">
      <w:pPr>
        <w:spacing w:after="62" w:line="360" w:lineRule="auto"/>
        <w:ind w:firstLine="420" w:firstLineChars="200"/>
        <w:rPr>
          <w:rFonts w:ascii="宋体" w:hAnsi="宋体" w:eastAsia="宋体" w:cs="宋体"/>
          <w:szCs w:val="21"/>
        </w:rPr>
      </w:pPr>
      <w:r>
        <w:rPr>
          <w:rFonts w:hint="eastAsia" w:ascii="宋体" w:hAnsi="宋体" w:eastAsia="宋体" w:cs="宋体"/>
          <w:szCs w:val="21"/>
        </w:rPr>
        <w:t>（2）故障响应时间及修复时间要求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3360"/>
        <w:gridCol w:w="2826"/>
      </w:tblGrid>
      <w:tr w14:paraId="5A2D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shd w:val="clear" w:color="auto" w:fill="F2F2F2"/>
            <w:vAlign w:val="center"/>
          </w:tcPr>
          <w:p w14:paraId="1F65EB9C">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故障级别</w:t>
            </w:r>
          </w:p>
        </w:tc>
        <w:tc>
          <w:tcPr>
            <w:tcW w:w="3360" w:type="dxa"/>
            <w:tcBorders>
              <w:top w:val="single" w:color="auto" w:sz="4" w:space="0"/>
              <w:left w:val="single" w:color="auto" w:sz="4" w:space="0"/>
              <w:bottom w:val="single" w:color="auto" w:sz="4" w:space="0"/>
              <w:right w:val="single" w:color="auto" w:sz="4" w:space="0"/>
            </w:tcBorders>
            <w:shd w:val="clear" w:color="auto" w:fill="F2F2F2"/>
            <w:vAlign w:val="center"/>
          </w:tcPr>
          <w:p w14:paraId="240C7FBD">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项目经理到达现场规定时间</w:t>
            </w:r>
          </w:p>
        </w:tc>
        <w:tc>
          <w:tcPr>
            <w:tcW w:w="2826" w:type="dxa"/>
            <w:tcBorders>
              <w:top w:val="single" w:color="auto" w:sz="4" w:space="0"/>
              <w:left w:val="single" w:color="auto" w:sz="4" w:space="0"/>
              <w:bottom w:val="single" w:color="auto" w:sz="4" w:space="0"/>
              <w:right w:val="single" w:color="auto" w:sz="4" w:space="0"/>
            </w:tcBorders>
            <w:shd w:val="clear" w:color="auto" w:fill="F2F2F2"/>
            <w:vAlign w:val="center"/>
          </w:tcPr>
          <w:p w14:paraId="0E8D34C1">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故障修复时间</w:t>
            </w:r>
          </w:p>
        </w:tc>
      </w:tr>
      <w:tr w14:paraId="2EF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vAlign w:val="center"/>
          </w:tcPr>
          <w:p w14:paraId="1EC7CD69">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一级故障</w:t>
            </w:r>
          </w:p>
        </w:tc>
        <w:tc>
          <w:tcPr>
            <w:tcW w:w="3360" w:type="dxa"/>
            <w:tcBorders>
              <w:top w:val="single" w:color="auto" w:sz="4" w:space="0"/>
              <w:left w:val="single" w:color="auto" w:sz="4" w:space="0"/>
              <w:bottom w:val="single" w:color="auto" w:sz="4" w:space="0"/>
              <w:right w:val="single" w:color="auto" w:sz="4" w:space="0"/>
            </w:tcBorders>
            <w:vAlign w:val="center"/>
          </w:tcPr>
          <w:p w14:paraId="721FF0B6">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小于3小时</w:t>
            </w:r>
          </w:p>
        </w:tc>
        <w:tc>
          <w:tcPr>
            <w:tcW w:w="2826" w:type="dxa"/>
            <w:tcBorders>
              <w:top w:val="single" w:color="auto" w:sz="4" w:space="0"/>
              <w:left w:val="single" w:color="auto" w:sz="4" w:space="0"/>
              <w:bottom w:val="single" w:color="auto" w:sz="4" w:space="0"/>
              <w:right w:val="single" w:color="auto" w:sz="4" w:space="0"/>
            </w:tcBorders>
            <w:vAlign w:val="center"/>
          </w:tcPr>
          <w:p w14:paraId="4E625F77">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 xml:space="preserve">小于 </w:t>
            </w:r>
            <w:r>
              <w:rPr>
                <w:rFonts w:ascii="宋体" w:hAnsi="宋体" w:eastAsia="宋体" w:cs="宋体"/>
                <w:szCs w:val="21"/>
              </w:rPr>
              <w:t>6</w:t>
            </w:r>
            <w:r>
              <w:rPr>
                <w:rFonts w:hint="eastAsia" w:ascii="宋体" w:hAnsi="宋体" w:eastAsia="宋体" w:cs="宋体"/>
                <w:szCs w:val="21"/>
              </w:rPr>
              <w:t>小时</w:t>
            </w:r>
          </w:p>
        </w:tc>
      </w:tr>
      <w:tr w14:paraId="468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vAlign w:val="center"/>
          </w:tcPr>
          <w:p w14:paraId="11CD9459">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二级故障</w:t>
            </w:r>
          </w:p>
        </w:tc>
        <w:tc>
          <w:tcPr>
            <w:tcW w:w="3360" w:type="dxa"/>
            <w:tcBorders>
              <w:top w:val="single" w:color="auto" w:sz="4" w:space="0"/>
              <w:left w:val="single" w:color="auto" w:sz="4" w:space="0"/>
              <w:bottom w:val="single" w:color="auto" w:sz="4" w:space="0"/>
              <w:right w:val="single" w:color="auto" w:sz="4" w:space="0"/>
            </w:tcBorders>
            <w:vAlign w:val="center"/>
          </w:tcPr>
          <w:p w14:paraId="16C0E124">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小于6小时</w:t>
            </w:r>
          </w:p>
        </w:tc>
        <w:tc>
          <w:tcPr>
            <w:tcW w:w="2826" w:type="dxa"/>
            <w:tcBorders>
              <w:top w:val="single" w:color="auto" w:sz="4" w:space="0"/>
              <w:left w:val="single" w:color="auto" w:sz="4" w:space="0"/>
              <w:bottom w:val="single" w:color="auto" w:sz="4" w:space="0"/>
              <w:right w:val="single" w:color="auto" w:sz="4" w:space="0"/>
            </w:tcBorders>
            <w:vAlign w:val="center"/>
          </w:tcPr>
          <w:p w14:paraId="0089EE82">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小于1</w:t>
            </w:r>
            <w:r>
              <w:rPr>
                <w:rFonts w:ascii="宋体" w:hAnsi="宋体" w:eastAsia="宋体" w:cs="宋体"/>
                <w:szCs w:val="21"/>
              </w:rPr>
              <w:t>2</w:t>
            </w:r>
            <w:r>
              <w:rPr>
                <w:rFonts w:hint="eastAsia" w:ascii="宋体" w:hAnsi="宋体" w:eastAsia="宋体" w:cs="宋体"/>
                <w:szCs w:val="21"/>
              </w:rPr>
              <w:t>小时</w:t>
            </w:r>
          </w:p>
        </w:tc>
      </w:tr>
      <w:tr w14:paraId="5F69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vAlign w:val="center"/>
          </w:tcPr>
          <w:p w14:paraId="1140CCF6">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三级故障</w:t>
            </w:r>
          </w:p>
        </w:tc>
        <w:tc>
          <w:tcPr>
            <w:tcW w:w="3360" w:type="dxa"/>
            <w:tcBorders>
              <w:top w:val="single" w:color="auto" w:sz="4" w:space="0"/>
              <w:left w:val="single" w:color="auto" w:sz="4" w:space="0"/>
              <w:bottom w:val="single" w:color="auto" w:sz="4" w:space="0"/>
              <w:right w:val="single" w:color="auto" w:sz="4" w:space="0"/>
            </w:tcBorders>
            <w:vAlign w:val="center"/>
          </w:tcPr>
          <w:p w14:paraId="7E03B65B">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小于12小时</w:t>
            </w:r>
          </w:p>
        </w:tc>
        <w:tc>
          <w:tcPr>
            <w:tcW w:w="2826" w:type="dxa"/>
            <w:tcBorders>
              <w:top w:val="single" w:color="auto" w:sz="4" w:space="0"/>
              <w:left w:val="single" w:color="auto" w:sz="4" w:space="0"/>
              <w:bottom w:val="single" w:color="auto" w:sz="4" w:space="0"/>
              <w:right w:val="single" w:color="auto" w:sz="4" w:space="0"/>
            </w:tcBorders>
            <w:vAlign w:val="center"/>
          </w:tcPr>
          <w:p w14:paraId="6F77BBB7">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小于24小时</w:t>
            </w:r>
          </w:p>
        </w:tc>
      </w:tr>
    </w:tbl>
    <w:p w14:paraId="7AF374A9">
      <w:pPr>
        <w:spacing w:after="62" w:line="360" w:lineRule="auto"/>
        <w:ind w:firstLine="420" w:firstLineChars="200"/>
        <w:jc w:val="left"/>
        <w:rPr>
          <w:rFonts w:ascii="宋体" w:hAnsi="宋体" w:eastAsia="宋体" w:cs="宋体"/>
          <w:szCs w:val="21"/>
        </w:rPr>
      </w:pPr>
      <w:r>
        <w:rPr>
          <w:rFonts w:hint="eastAsia" w:ascii="宋体" w:hAnsi="宋体" w:eastAsia="宋体" w:cs="宋体"/>
          <w:kern w:val="0"/>
          <w:szCs w:val="21"/>
        </w:rPr>
        <w:t>（3）</w:t>
      </w:r>
      <w:r>
        <w:rPr>
          <w:rFonts w:hint="eastAsia" w:ascii="宋体" w:hAnsi="宋体" w:eastAsia="宋体" w:cs="宋体"/>
          <w:szCs w:val="21"/>
        </w:rPr>
        <w:t>投标人服务人员在处理故障时，要认真填写相关故障处理报告，并在离开现场前提交招标人存档，以便下次迅速的处理此类问题。</w:t>
      </w:r>
    </w:p>
    <w:p w14:paraId="1F52E78C">
      <w:pPr>
        <w:pStyle w:val="45"/>
        <w:spacing w:after="62"/>
        <w:rPr>
          <w:rFonts w:ascii="宋体" w:hAnsi="宋体" w:eastAsia="宋体" w:cs="宋体"/>
          <w:szCs w:val="21"/>
        </w:rPr>
      </w:pPr>
      <w:r>
        <w:rPr>
          <w:rFonts w:hint="eastAsia" w:ascii="宋体" w:hAnsi="宋体" w:eastAsia="宋体" w:cs="宋体"/>
          <w:szCs w:val="21"/>
        </w:rPr>
        <w:t>7、提供信息安全服务，保障招标人数据安全及网络安全。</w:t>
      </w:r>
    </w:p>
    <w:p w14:paraId="1F961B2E">
      <w:pPr>
        <w:pStyle w:val="45"/>
        <w:spacing w:after="62"/>
        <w:rPr>
          <w:rFonts w:ascii="宋体" w:hAnsi="宋体" w:eastAsia="宋体" w:cs="宋体"/>
          <w:szCs w:val="21"/>
        </w:rPr>
      </w:pPr>
      <w:r>
        <w:rPr>
          <w:rFonts w:hint="eastAsia" w:ascii="宋体" w:hAnsi="宋体" w:eastAsia="宋体" w:cs="宋体"/>
          <w:szCs w:val="21"/>
        </w:rPr>
        <w:t>8、培训服务；对用户进行的集中专题业务和技术培训，</w:t>
      </w:r>
      <w:r>
        <w:rPr>
          <w:rFonts w:hint="eastAsia" w:ascii="宋体" w:hAnsi="宋体" w:eastAsia="宋体" w:cs="宋体"/>
          <w:bCs/>
          <w:szCs w:val="21"/>
        </w:rPr>
        <w:t>。</w:t>
      </w:r>
    </w:p>
    <w:p w14:paraId="52442575">
      <w:pPr>
        <w:spacing w:after="62" w:line="360" w:lineRule="auto"/>
        <w:ind w:firstLine="422" w:firstLineChars="200"/>
        <w:jc w:val="left"/>
        <w:outlineLvl w:val="3"/>
        <w:rPr>
          <w:rFonts w:hint="eastAsia" w:ascii="宋体" w:hAnsi="宋体"/>
          <w:b/>
          <w:color w:val="000000" w:themeColor="text1"/>
          <w:szCs w:val="21"/>
          <w:lang w:eastAsia="zh-CN"/>
          <w14:textFill>
            <w14:solidFill>
              <w14:schemeClr w14:val="tx1"/>
            </w14:solidFill>
          </w14:textFill>
        </w:rPr>
      </w:pPr>
      <w:r>
        <w:rPr>
          <w:rFonts w:hint="eastAsia" w:ascii="宋体" w:hAnsi="宋体" w:eastAsia="宋体" w:cs="宋体"/>
          <w:b/>
          <w:szCs w:val="21"/>
        </w:rPr>
        <w:t>二、服务质量考核</w:t>
      </w:r>
    </w:p>
    <w:p w14:paraId="484458B6">
      <w:pPr>
        <w:kinsoku w:val="0"/>
        <w:autoSpaceDE w:val="0"/>
        <w:autoSpaceDN w:val="0"/>
        <w:spacing w:after="62" w:line="240" w:lineRule="auto"/>
        <w:ind w:firstLine="420" w:firstLineChars="200"/>
        <w:jc w:val="both"/>
        <w:textAlignment w:val="baseline"/>
        <w:rPr>
          <w:rFonts w:hint="eastAsia" w:ascii="宋体" w:hAnsi="宋体"/>
          <w:b/>
          <w:snapToGrid w:val="0"/>
          <w:color w:val="000000" w:themeColor="text1"/>
          <w:spacing w:val="-1"/>
          <w:szCs w:val="21"/>
          <w:lang w:eastAsia="zh-CN"/>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招标人在项目服务期内根据下表（</w:t>
      </w:r>
      <w:r>
        <w:rPr>
          <w:rFonts w:hint="eastAsia"/>
          <w:b/>
          <w:color w:val="000000" w:themeColor="text1"/>
          <w:lang w:eastAsia="zh-CN"/>
          <w14:textFill>
            <w14:solidFill>
              <w14:schemeClr w14:val="tx1"/>
            </w14:solidFill>
          </w14:textFill>
        </w:rPr>
        <w:t>《服务质量考核表》）进行项目验收，考核结果满9</w:t>
      </w:r>
      <w:r>
        <w:rPr>
          <w:b/>
          <w:color w:val="000000" w:themeColor="text1"/>
          <w:lang w:eastAsia="zh-CN"/>
          <w14:textFill>
            <w14:solidFill>
              <w14:schemeClr w14:val="tx1"/>
            </w14:solidFill>
          </w14:textFill>
        </w:rPr>
        <w:t>0</w:t>
      </w:r>
      <w:r>
        <w:rPr>
          <w:rFonts w:hint="eastAsia"/>
          <w:b/>
          <w:color w:val="000000" w:themeColor="text1"/>
          <w:lang w:eastAsia="zh-CN"/>
          <w14:textFill>
            <w14:solidFill>
              <w14:schemeClr w14:val="tx1"/>
            </w14:solidFill>
          </w14:textFill>
        </w:rPr>
        <w:t>分及以上按照合同价格支付服务费，满分小于9</w:t>
      </w:r>
      <w:r>
        <w:rPr>
          <w:b/>
          <w:color w:val="000000" w:themeColor="text1"/>
          <w:lang w:eastAsia="zh-CN"/>
          <w14:textFill>
            <w14:solidFill>
              <w14:schemeClr w14:val="tx1"/>
            </w14:solidFill>
          </w14:textFill>
        </w:rPr>
        <w:t>0</w:t>
      </w:r>
      <w:r>
        <w:rPr>
          <w:rFonts w:hint="eastAsia"/>
          <w:b/>
          <w:color w:val="000000" w:themeColor="text1"/>
          <w:lang w:eastAsia="zh-CN"/>
          <w14:textFill>
            <w14:solidFill>
              <w14:schemeClr w14:val="tx1"/>
            </w14:solidFill>
          </w14:textFill>
        </w:rPr>
        <w:t>分按照合同价格的</w:t>
      </w:r>
      <w:r>
        <w:rPr>
          <w:rFonts w:hint="eastAsia"/>
          <w:b/>
          <w:color w:val="000000" w:themeColor="text1"/>
          <w:lang w:val="en-US" w:eastAsia="zh-CN"/>
          <w14:textFill>
            <w14:solidFill>
              <w14:schemeClr w14:val="tx1"/>
            </w14:solidFill>
          </w14:textFill>
        </w:rPr>
        <w:t>5</w:t>
      </w:r>
      <w:r>
        <w:rPr>
          <w:rFonts w:hint="eastAsia"/>
          <w:b/>
          <w:color w:val="000000" w:themeColor="text1"/>
          <w:lang w:eastAsia="zh-CN"/>
          <w14:textFill>
            <w14:solidFill>
              <w14:schemeClr w14:val="tx1"/>
            </w14:solidFill>
          </w14:textFill>
        </w:rPr>
        <w:t>0%支付服务费，低于6</w:t>
      </w:r>
      <w:r>
        <w:rPr>
          <w:b/>
          <w:color w:val="000000" w:themeColor="text1"/>
          <w:lang w:eastAsia="zh-CN"/>
          <w14:textFill>
            <w14:solidFill>
              <w14:schemeClr w14:val="tx1"/>
            </w14:solidFill>
          </w14:textFill>
        </w:rPr>
        <w:t>0</w:t>
      </w:r>
      <w:r>
        <w:rPr>
          <w:rFonts w:hint="eastAsia"/>
          <w:b/>
          <w:color w:val="000000" w:themeColor="text1"/>
          <w:lang w:eastAsia="zh-CN"/>
          <w14:textFill>
            <w14:solidFill>
              <w14:schemeClr w14:val="tx1"/>
            </w14:solidFill>
          </w14:textFill>
        </w:rPr>
        <w:t>分不予支付费用。</w:t>
      </w:r>
    </w:p>
    <w:p w14:paraId="048B9EEA">
      <w:pPr>
        <w:pStyle w:val="24"/>
        <w:ind w:left="0" w:firstLine="0"/>
        <w:jc w:val="center"/>
        <w:rPr>
          <w:rFonts w:ascii="宋体" w:hAnsi="宋体" w:eastAsia="宋体"/>
          <w:b/>
          <w:bCs w:val="0"/>
          <w:color w:val="000000" w:themeColor="text1"/>
          <w:kern w:val="0"/>
          <w:sz w:val="24"/>
          <w:szCs w:val="21"/>
          <w:lang w:eastAsia="zh-CN"/>
          <w14:textFill>
            <w14:solidFill>
              <w14:schemeClr w14:val="tx1"/>
            </w14:solidFill>
          </w14:textFill>
        </w:rPr>
      </w:pPr>
      <w:r>
        <w:rPr>
          <w:rFonts w:hint="eastAsia" w:ascii="宋体" w:hAnsi="宋体" w:eastAsia="宋体"/>
          <w:b/>
          <w:bCs w:val="0"/>
          <w:color w:val="000000" w:themeColor="text1"/>
          <w:kern w:val="0"/>
          <w:sz w:val="24"/>
          <w:szCs w:val="21"/>
          <w:lang w:eastAsia="zh-CN"/>
          <w14:textFill>
            <w14:solidFill>
              <w14:schemeClr w14:val="tx1"/>
            </w14:solidFill>
          </w14:textFill>
        </w:rPr>
        <w:t>《服务质量考核表》</w:t>
      </w:r>
    </w:p>
    <w:tbl>
      <w:tblPr>
        <w:tblStyle w:val="29"/>
        <w:tblW w:w="5449" w:type="pct"/>
        <w:jc w:val="center"/>
        <w:tblLayout w:type="autofit"/>
        <w:tblCellMar>
          <w:top w:w="0" w:type="dxa"/>
          <w:left w:w="108" w:type="dxa"/>
          <w:bottom w:w="0" w:type="dxa"/>
          <w:right w:w="108" w:type="dxa"/>
        </w:tblCellMar>
      </w:tblPr>
      <w:tblGrid>
        <w:gridCol w:w="940"/>
        <w:gridCol w:w="1896"/>
        <w:gridCol w:w="938"/>
        <w:gridCol w:w="3938"/>
        <w:gridCol w:w="1575"/>
      </w:tblGrid>
      <w:tr w14:paraId="78988597">
        <w:tblPrEx>
          <w:tblCellMar>
            <w:top w:w="0" w:type="dxa"/>
            <w:left w:w="108" w:type="dxa"/>
            <w:bottom w:w="0" w:type="dxa"/>
            <w:right w:w="108" w:type="dxa"/>
          </w:tblCellMar>
        </w:tblPrEx>
        <w:trPr>
          <w:trHeight w:val="524" w:hRule="atLeast"/>
          <w:jc w:val="center"/>
        </w:trPr>
        <w:tc>
          <w:tcPr>
            <w:tcW w:w="506" w:type="pct"/>
            <w:tcBorders>
              <w:top w:val="single" w:color="auto" w:sz="4" w:space="0"/>
              <w:left w:val="single" w:color="auto" w:sz="4" w:space="0"/>
              <w:bottom w:val="single" w:color="auto" w:sz="4" w:space="0"/>
              <w:right w:val="single" w:color="auto" w:sz="4" w:space="0"/>
            </w:tcBorders>
            <w:shd w:val="clear" w:color="000000" w:fill="C5D9F1"/>
            <w:vAlign w:val="center"/>
          </w:tcPr>
          <w:p w14:paraId="64112CD6">
            <w:pPr>
              <w:widowControl/>
              <w:jc w:val="center"/>
              <w:rPr>
                <w:rFonts w:ascii="宋体" w:hAnsi="宋体"/>
                <w:bCs/>
                <w:color w:val="000000"/>
                <w:szCs w:val="24"/>
              </w:rPr>
            </w:pPr>
            <w:r>
              <w:rPr>
                <w:rFonts w:hint="eastAsia" w:ascii="宋体" w:hAnsi="宋体"/>
                <w:bCs/>
                <w:color w:val="000000"/>
                <w:szCs w:val="24"/>
              </w:rPr>
              <w:t>序号</w:t>
            </w:r>
          </w:p>
        </w:tc>
        <w:tc>
          <w:tcPr>
            <w:tcW w:w="1021" w:type="pct"/>
            <w:tcBorders>
              <w:top w:val="single" w:color="auto" w:sz="4" w:space="0"/>
              <w:left w:val="nil"/>
              <w:bottom w:val="single" w:color="auto" w:sz="4" w:space="0"/>
              <w:right w:val="single" w:color="auto" w:sz="4" w:space="0"/>
            </w:tcBorders>
            <w:shd w:val="clear" w:color="000000" w:fill="C5D9F1"/>
            <w:vAlign w:val="center"/>
          </w:tcPr>
          <w:p w14:paraId="01F1E82F">
            <w:pPr>
              <w:widowControl/>
              <w:jc w:val="center"/>
              <w:rPr>
                <w:rFonts w:ascii="宋体" w:hAnsi="宋体"/>
                <w:bCs/>
                <w:color w:val="000000"/>
                <w:szCs w:val="24"/>
              </w:rPr>
            </w:pPr>
            <w:r>
              <w:rPr>
                <w:rFonts w:hint="eastAsia" w:ascii="宋体" w:hAnsi="宋体"/>
                <w:bCs/>
                <w:color w:val="000000"/>
                <w:szCs w:val="24"/>
              </w:rPr>
              <w:t>考核因素</w:t>
            </w:r>
          </w:p>
        </w:tc>
        <w:tc>
          <w:tcPr>
            <w:tcW w:w="505" w:type="pct"/>
            <w:tcBorders>
              <w:top w:val="single" w:color="auto" w:sz="4" w:space="0"/>
              <w:left w:val="nil"/>
              <w:bottom w:val="single" w:color="auto" w:sz="4" w:space="0"/>
              <w:right w:val="single" w:color="auto" w:sz="4" w:space="0"/>
            </w:tcBorders>
            <w:shd w:val="clear" w:color="000000" w:fill="C5D9F1"/>
            <w:vAlign w:val="center"/>
          </w:tcPr>
          <w:p w14:paraId="38650FC4">
            <w:pPr>
              <w:widowControl/>
              <w:jc w:val="center"/>
              <w:rPr>
                <w:rFonts w:ascii="宋体" w:hAnsi="宋体"/>
                <w:bCs/>
                <w:color w:val="000000"/>
                <w:szCs w:val="24"/>
              </w:rPr>
            </w:pPr>
            <w:r>
              <w:rPr>
                <w:rFonts w:hint="eastAsia" w:ascii="宋体" w:hAnsi="宋体"/>
                <w:bCs/>
                <w:color w:val="000000"/>
                <w:szCs w:val="24"/>
              </w:rPr>
              <w:t>分值</w:t>
            </w:r>
          </w:p>
        </w:tc>
        <w:tc>
          <w:tcPr>
            <w:tcW w:w="2120" w:type="pct"/>
            <w:tcBorders>
              <w:top w:val="single" w:color="auto" w:sz="4" w:space="0"/>
              <w:left w:val="nil"/>
              <w:bottom w:val="single" w:color="auto" w:sz="4" w:space="0"/>
              <w:right w:val="single" w:color="auto" w:sz="4" w:space="0"/>
            </w:tcBorders>
            <w:shd w:val="clear" w:color="000000" w:fill="C5D9F1"/>
            <w:vAlign w:val="center"/>
          </w:tcPr>
          <w:p w14:paraId="181AB0FE">
            <w:pPr>
              <w:widowControl/>
              <w:jc w:val="center"/>
              <w:rPr>
                <w:rFonts w:ascii="宋体" w:hAnsi="宋体"/>
                <w:bCs/>
                <w:color w:val="000000"/>
                <w:szCs w:val="24"/>
              </w:rPr>
            </w:pPr>
            <w:r>
              <w:rPr>
                <w:rFonts w:hint="eastAsia" w:ascii="宋体" w:hAnsi="宋体"/>
                <w:bCs/>
                <w:color w:val="000000"/>
                <w:szCs w:val="24"/>
              </w:rPr>
              <w:t>考核标准</w:t>
            </w:r>
          </w:p>
        </w:tc>
        <w:tc>
          <w:tcPr>
            <w:tcW w:w="848" w:type="pct"/>
            <w:tcBorders>
              <w:top w:val="single" w:color="auto" w:sz="4" w:space="0"/>
              <w:left w:val="nil"/>
              <w:bottom w:val="single" w:color="auto" w:sz="4" w:space="0"/>
              <w:right w:val="single" w:color="auto" w:sz="4" w:space="0"/>
            </w:tcBorders>
            <w:shd w:val="clear" w:color="000000" w:fill="C5D9F1"/>
            <w:vAlign w:val="center"/>
          </w:tcPr>
          <w:p w14:paraId="5304C222">
            <w:pPr>
              <w:widowControl/>
              <w:jc w:val="center"/>
              <w:rPr>
                <w:rFonts w:ascii="宋体" w:hAnsi="宋体"/>
                <w:bCs/>
                <w:color w:val="000000"/>
                <w:szCs w:val="24"/>
              </w:rPr>
            </w:pPr>
            <w:r>
              <w:rPr>
                <w:rFonts w:hint="eastAsia" w:ascii="宋体" w:hAnsi="宋体"/>
                <w:bCs/>
                <w:color w:val="000000"/>
                <w:szCs w:val="24"/>
              </w:rPr>
              <w:t>考核得分</w:t>
            </w:r>
          </w:p>
        </w:tc>
      </w:tr>
      <w:tr w14:paraId="0F2DB4C4">
        <w:tblPrEx>
          <w:tblCellMar>
            <w:top w:w="0" w:type="dxa"/>
            <w:left w:w="108" w:type="dxa"/>
            <w:bottom w:w="0" w:type="dxa"/>
            <w:right w:w="108" w:type="dxa"/>
          </w:tblCellMar>
        </w:tblPrEx>
        <w:trPr>
          <w:trHeight w:val="52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0E49D9A2">
            <w:pPr>
              <w:widowControl/>
              <w:jc w:val="center"/>
              <w:rPr>
                <w:rFonts w:ascii="宋体" w:hAnsi="宋体"/>
                <w:color w:val="000000"/>
                <w:szCs w:val="24"/>
              </w:rPr>
            </w:pPr>
            <w:r>
              <w:rPr>
                <w:rFonts w:hint="eastAsia" w:ascii="宋体" w:hAnsi="宋体"/>
                <w:color w:val="000000"/>
                <w:szCs w:val="24"/>
              </w:rPr>
              <w:t>1</w:t>
            </w:r>
          </w:p>
        </w:tc>
        <w:tc>
          <w:tcPr>
            <w:tcW w:w="1021" w:type="pct"/>
            <w:tcBorders>
              <w:top w:val="nil"/>
              <w:left w:val="nil"/>
              <w:bottom w:val="single" w:color="auto" w:sz="4" w:space="0"/>
              <w:right w:val="single" w:color="auto" w:sz="4" w:space="0"/>
            </w:tcBorders>
            <w:shd w:val="clear" w:color="auto" w:fill="auto"/>
            <w:vAlign w:val="center"/>
          </w:tcPr>
          <w:p w14:paraId="422EE55B">
            <w:pPr>
              <w:widowControl/>
              <w:jc w:val="center"/>
              <w:rPr>
                <w:rFonts w:ascii="宋体" w:hAnsi="宋体"/>
                <w:color w:val="000000"/>
                <w:szCs w:val="24"/>
              </w:rPr>
            </w:pPr>
            <w:r>
              <w:rPr>
                <w:rFonts w:hint="eastAsia" w:ascii="宋体" w:hAnsi="宋体"/>
                <w:color w:val="000000"/>
                <w:szCs w:val="24"/>
              </w:rPr>
              <w:t>故障修复服务</w:t>
            </w:r>
          </w:p>
        </w:tc>
        <w:tc>
          <w:tcPr>
            <w:tcW w:w="505" w:type="pct"/>
            <w:tcBorders>
              <w:top w:val="nil"/>
              <w:left w:val="nil"/>
              <w:bottom w:val="single" w:color="auto" w:sz="4" w:space="0"/>
              <w:right w:val="single" w:color="auto" w:sz="4" w:space="0"/>
            </w:tcBorders>
            <w:shd w:val="clear" w:color="auto" w:fill="auto"/>
            <w:vAlign w:val="center"/>
          </w:tcPr>
          <w:p w14:paraId="1C21B52B">
            <w:pPr>
              <w:widowControl/>
              <w:jc w:val="center"/>
              <w:rPr>
                <w:rFonts w:hint="default" w:ascii="宋体" w:hAnsi="宋体" w:eastAsia="微软雅黑"/>
                <w:color w:val="000000"/>
                <w:szCs w:val="24"/>
                <w:lang w:val="en-US" w:eastAsia="zh-CN"/>
              </w:rPr>
            </w:pPr>
            <w:r>
              <w:rPr>
                <w:rFonts w:hint="eastAsia" w:ascii="宋体" w:hAnsi="宋体"/>
                <w:color w:val="000000"/>
                <w:szCs w:val="24"/>
                <w:lang w:val="en-US" w:eastAsia="zh-CN"/>
              </w:rPr>
              <w:t>40</w:t>
            </w:r>
          </w:p>
        </w:tc>
        <w:tc>
          <w:tcPr>
            <w:tcW w:w="2120" w:type="pct"/>
            <w:tcBorders>
              <w:top w:val="nil"/>
              <w:left w:val="nil"/>
              <w:bottom w:val="single" w:color="auto" w:sz="4" w:space="0"/>
              <w:right w:val="single" w:color="auto" w:sz="4" w:space="0"/>
            </w:tcBorders>
            <w:shd w:val="clear" w:color="auto" w:fill="auto"/>
            <w:vAlign w:val="center"/>
          </w:tcPr>
          <w:p w14:paraId="542FF5AE">
            <w:pPr>
              <w:widowControl/>
              <w:rPr>
                <w:rFonts w:ascii="宋体" w:hAnsi="宋体"/>
                <w:color w:val="000000"/>
                <w:szCs w:val="24"/>
                <w:lang w:eastAsia="zh-CN"/>
              </w:rPr>
            </w:pPr>
            <w:r>
              <w:rPr>
                <w:rFonts w:hint="eastAsia" w:ascii="宋体" w:hAnsi="宋体"/>
                <w:color w:val="000000"/>
                <w:szCs w:val="24"/>
                <w:lang w:eastAsia="zh-CN"/>
              </w:rPr>
              <w:t>发生一次未按双方定义的故障级别及故障修复时限进行故障修复的扣</w:t>
            </w:r>
            <w:r>
              <w:rPr>
                <w:rFonts w:hint="eastAsia" w:ascii="宋体" w:hAnsi="宋体"/>
                <w:color w:val="000000"/>
                <w:szCs w:val="24"/>
                <w:lang w:val="en-US" w:eastAsia="zh-CN"/>
              </w:rPr>
              <w:t>10</w:t>
            </w:r>
            <w:r>
              <w:rPr>
                <w:rFonts w:hint="eastAsia" w:ascii="宋体" w:hAnsi="宋体"/>
                <w:color w:val="000000"/>
                <w:szCs w:val="24"/>
                <w:lang w:eastAsia="zh-CN"/>
              </w:rPr>
              <w:t>分，未及时提供书面报告扣</w:t>
            </w:r>
            <w:r>
              <w:rPr>
                <w:rFonts w:hint="eastAsia" w:ascii="宋体" w:hAnsi="宋体"/>
                <w:color w:val="000000"/>
                <w:szCs w:val="24"/>
                <w:lang w:val="en-US" w:eastAsia="zh-CN"/>
              </w:rPr>
              <w:t>5</w:t>
            </w:r>
            <w:r>
              <w:rPr>
                <w:rFonts w:hint="eastAsia" w:ascii="宋体" w:hAnsi="宋体"/>
                <w:color w:val="000000"/>
                <w:szCs w:val="24"/>
                <w:lang w:eastAsia="zh-CN"/>
              </w:rPr>
              <w:t>分</w:t>
            </w:r>
          </w:p>
        </w:tc>
        <w:tc>
          <w:tcPr>
            <w:tcW w:w="848" w:type="pct"/>
            <w:tcBorders>
              <w:top w:val="nil"/>
              <w:left w:val="nil"/>
              <w:bottom w:val="single" w:color="auto" w:sz="4" w:space="0"/>
              <w:right w:val="single" w:color="auto" w:sz="4" w:space="0"/>
            </w:tcBorders>
            <w:shd w:val="clear" w:color="auto" w:fill="auto"/>
            <w:vAlign w:val="center"/>
          </w:tcPr>
          <w:p w14:paraId="4EF103DA">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1B7B4819">
        <w:tblPrEx>
          <w:tblCellMar>
            <w:top w:w="0" w:type="dxa"/>
            <w:left w:w="108" w:type="dxa"/>
            <w:bottom w:w="0" w:type="dxa"/>
            <w:right w:w="108" w:type="dxa"/>
          </w:tblCellMar>
        </w:tblPrEx>
        <w:trPr>
          <w:trHeight w:val="52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677C6C43">
            <w:pPr>
              <w:widowControl/>
              <w:jc w:val="center"/>
              <w:rPr>
                <w:rFonts w:ascii="宋体" w:hAnsi="宋体"/>
                <w:color w:val="000000"/>
                <w:szCs w:val="24"/>
              </w:rPr>
            </w:pPr>
            <w:r>
              <w:rPr>
                <w:rFonts w:hint="eastAsia" w:ascii="宋体" w:hAnsi="宋体"/>
                <w:color w:val="000000"/>
                <w:szCs w:val="24"/>
              </w:rPr>
              <w:t>2</w:t>
            </w:r>
          </w:p>
        </w:tc>
        <w:tc>
          <w:tcPr>
            <w:tcW w:w="1021" w:type="pct"/>
            <w:tcBorders>
              <w:top w:val="nil"/>
              <w:left w:val="nil"/>
              <w:bottom w:val="single" w:color="auto" w:sz="4" w:space="0"/>
              <w:right w:val="single" w:color="auto" w:sz="4" w:space="0"/>
            </w:tcBorders>
            <w:shd w:val="clear" w:color="auto" w:fill="auto"/>
            <w:vAlign w:val="center"/>
          </w:tcPr>
          <w:p w14:paraId="2B5234DC">
            <w:pPr>
              <w:widowControl/>
              <w:jc w:val="center"/>
              <w:rPr>
                <w:rFonts w:ascii="宋体" w:hAnsi="宋体"/>
                <w:color w:val="000000"/>
                <w:szCs w:val="24"/>
              </w:rPr>
            </w:pPr>
            <w:r>
              <w:rPr>
                <w:rFonts w:hint="eastAsia" w:ascii="宋体" w:hAnsi="宋体"/>
                <w:color w:val="000000"/>
                <w:szCs w:val="24"/>
              </w:rPr>
              <w:t>设备巡检服务</w:t>
            </w:r>
          </w:p>
        </w:tc>
        <w:tc>
          <w:tcPr>
            <w:tcW w:w="505" w:type="pct"/>
            <w:tcBorders>
              <w:top w:val="nil"/>
              <w:left w:val="nil"/>
              <w:bottom w:val="single" w:color="auto" w:sz="4" w:space="0"/>
              <w:right w:val="single" w:color="auto" w:sz="4" w:space="0"/>
            </w:tcBorders>
            <w:shd w:val="clear" w:color="auto" w:fill="auto"/>
            <w:vAlign w:val="center"/>
          </w:tcPr>
          <w:p w14:paraId="0BC2B2B1">
            <w:pPr>
              <w:widowControl/>
              <w:jc w:val="center"/>
              <w:rPr>
                <w:rFonts w:ascii="宋体" w:hAnsi="宋体"/>
                <w:color w:val="000000"/>
                <w:szCs w:val="24"/>
              </w:rPr>
            </w:pPr>
            <w:r>
              <w:rPr>
                <w:rFonts w:ascii="宋体" w:hAnsi="宋体"/>
                <w:color w:val="000000"/>
                <w:szCs w:val="24"/>
              </w:rPr>
              <w:t>10</w:t>
            </w:r>
          </w:p>
        </w:tc>
        <w:tc>
          <w:tcPr>
            <w:tcW w:w="2120" w:type="pct"/>
            <w:tcBorders>
              <w:top w:val="nil"/>
              <w:left w:val="nil"/>
              <w:bottom w:val="single" w:color="auto" w:sz="4" w:space="0"/>
              <w:right w:val="single" w:color="auto" w:sz="4" w:space="0"/>
            </w:tcBorders>
            <w:shd w:val="clear" w:color="auto" w:fill="auto"/>
            <w:vAlign w:val="center"/>
          </w:tcPr>
          <w:p w14:paraId="474DF0D0">
            <w:pPr>
              <w:widowControl/>
              <w:rPr>
                <w:rFonts w:ascii="宋体" w:hAnsi="宋体"/>
                <w:color w:val="000000"/>
                <w:szCs w:val="24"/>
                <w:lang w:eastAsia="zh-CN"/>
              </w:rPr>
            </w:pPr>
            <w:r>
              <w:rPr>
                <w:rFonts w:hint="eastAsia" w:ascii="宋体" w:hAnsi="宋体"/>
                <w:color w:val="000000"/>
                <w:szCs w:val="24"/>
                <w:lang w:eastAsia="zh-CN"/>
              </w:rPr>
              <w:t>发生一次未按照招标人要求提供季度巡检服务的扣3分，未及时提供巡检报告扣1分</w:t>
            </w:r>
          </w:p>
        </w:tc>
        <w:tc>
          <w:tcPr>
            <w:tcW w:w="848" w:type="pct"/>
            <w:tcBorders>
              <w:top w:val="nil"/>
              <w:left w:val="nil"/>
              <w:bottom w:val="single" w:color="auto" w:sz="4" w:space="0"/>
              <w:right w:val="single" w:color="auto" w:sz="4" w:space="0"/>
            </w:tcBorders>
            <w:shd w:val="clear" w:color="auto" w:fill="auto"/>
            <w:vAlign w:val="center"/>
          </w:tcPr>
          <w:p w14:paraId="141C4477">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568A1D8C">
        <w:tblPrEx>
          <w:tblCellMar>
            <w:top w:w="0" w:type="dxa"/>
            <w:left w:w="108" w:type="dxa"/>
            <w:bottom w:w="0" w:type="dxa"/>
            <w:right w:w="108" w:type="dxa"/>
          </w:tblCellMar>
        </w:tblPrEx>
        <w:trPr>
          <w:trHeight w:val="100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6389A9C4">
            <w:pPr>
              <w:widowControl/>
              <w:jc w:val="center"/>
              <w:rPr>
                <w:rFonts w:ascii="宋体" w:hAnsi="宋体"/>
                <w:color w:val="000000"/>
                <w:szCs w:val="24"/>
              </w:rPr>
            </w:pPr>
            <w:r>
              <w:rPr>
                <w:rFonts w:ascii="宋体" w:hAnsi="宋体"/>
                <w:color w:val="000000"/>
                <w:szCs w:val="24"/>
              </w:rPr>
              <w:t>3</w:t>
            </w:r>
          </w:p>
        </w:tc>
        <w:tc>
          <w:tcPr>
            <w:tcW w:w="1021" w:type="pct"/>
            <w:tcBorders>
              <w:top w:val="nil"/>
              <w:left w:val="nil"/>
              <w:bottom w:val="single" w:color="auto" w:sz="4" w:space="0"/>
              <w:right w:val="single" w:color="auto" w:sz="4" w:space="0"/>
            </w:tcBorders>
            <w:shd w:val="clear" w:color="auto" w:fill="auto"/>
            <w:vAlign w:val="center"/>
          </w:tcPr>
          <w:p w14:paraId="3342B75E">
            <w:pPr>
              <w:widowControl/>
              <w:jc w:val="center"/>
              <w:rPr>
                <w:rFonts w:ascii="宋体" w:hAnsi="宋体"/>
                <w:color w:val="000000"/>
                <w:szCs w:val="24"/>
                <w:lang w:eastAsia="zh-CN"/>
              </w:rPr>
            </w:pPr>
            <w:r>
              <w:rPr>
                <w:rFonts w:hint="eastAsia" w:ascii="宋体" w:hAnsi="宋体"/>
                <w:color w:val="000000"/>
                <w:szCs w:val="24"/>
                <w:lang w:eastAsia="zh-CN"/>
              </w:rPr>
              <w:t>信息系统维护调优服务</w:t>
            </w:r>
          </w:p>
        </w:tc>
        <w:tc>
          <w:tcPr>
            <w:tcW w:w="505" w:type="pct"/>
            <w:tcBorders>
              <w:top w:val="nil"/>
              <w:left w:val="nil"/>
              <w:bottom w:val="single" w:color="auto" w:sz="4" w:space="0"/>
              <w:right w:val="single" w:color="auto" w:sz="4" w:space="0"/>
            </w:tcBorders>
            <w:shd w:val="clear" w:color="auto" w:fill="auto"/>
            <w:vAlign w:val="center"/>
          </w:tcPr>
          <w:p w14:paraId="218171F5">
            <w:pPr>
              <w:widowControl/>
              <w:jc w:val="center"/>
              <w:rPr>
                <w:rFonts w:hint="eastAsia" w:ascii="宋体" w:hAnsi="宋体" w:eastAsia="微软雅黑"/>
                <w:color w:val="000000"/>
                <w:szCs w:val="24"/>
                <w:lang w:eastAsia="zh-CN"/>
              </w:rPr>
            </w:pPr>
            <w:r>
              <w:rPr>
                <w:rFonts w:hint="eastAsia" w:ascii="宋体" w:hAnsi="宋体"/>
                <w:color w:val="000000"/>
                <w:szCs w:val="24"/>
                <w:lang w:val="en-US" w:eastAsia="zh-CN"/>
              </w:rPr>
              <w:t>5</w:t>
            </w:r>
          </w:p>
        </w:tc>
        <w:tc>
          <w:tcPr>
            <w:tcW w:w="2120" w:type="pct"/>
            <w:tcBorders>
              <w:top w:val="nil"/>
              <w:left w:val="nil"/>
              <w:bottom w:val="single" w:color="auto" w:sz="4" w:space="0"/>
              <w:right w:val="single" w:color="auto" w:sz="4" w:space="0"/>
            </w:tcBorders>
            <w:shd w:val="clear" w:color="auto" w:fill="auto"/>
            <w:vAlign w:val="center"/>
          </w:tcPr>
          <w:p w14:paraId="7DFD918D">
            <w:pPr>
              <w:widowControl/>
              <w:rPr>
                <w:rFonts w:ascii="宋体" w:hAnsi="宋体"/>
                <w:color w:val="000000"/>
                <w:szCs w:val="24"/>
                <w:lang w:eastAsia="zh-CN"/>
              </w:rPr>
            </w:pPr>
            <w:r>
              <w:rPr>
                <w:rFonts w:hint="eastAsia" w:ascii="宋体" w:hAnsi="宋体"/>
                <w:color w:val="000000"/>
                <w:szCs w:val="24"/>
                <w:lang w:eastAsia="zh-CN"/>
              </w:rPr>
              <w:t>发生一次未按照招标人要求针对招标人的核心网络、存储、服务器、网络安全等软硬件系统提供系统维护及调优等服务的扣3分，未及时提供书面报告扣1分</w:t>
            </w:r>
          </w:p>
        </w:tc>
        <w:tc>
          <w:tcPr>
            <w:tcW w:w="848" w:type="pct"/>
            <w:tcBorders>
              <w:top w:val="nil"/>
              <w:left w:val="nil"/>
              <w:bottom w:val="single" w:color="auto" w:sz="4" w:space="0"/>
              <w:right w:val="single" w:color="auto" w:sz="4" w:space="0"/>
            </w:tcBorders>
            <w:shd w:val="clear" w:color="auto" w:fill="auto"/>
            <w:vAlign w:val="center"/>
          </w:tcPr>
          <w:p w14:paraId="03C5CE5B">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0A7792BD">
        <w:tblPrEx>
          <w:tblCellMar>
            <w:top w:w="0" w:type="dxa"/>
            <w:left w:w="108" w:type="dxa"/>
            <w:bottom w:w="0" w:type="dxa"/>
            <w:right w:w="108" w:type="dxa"/>
          </w:tblCellMar>
        </w:tblPrEx>
        <w:trPr>
          <w:trHeight w:val="902"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0B9C6F4F">
            <w:pPr>
              <w:widowControl/>
              <w:jc w:val="center"/>
              <w:rPr>
                <w:rFonts w:ascii="宋体" w:hAnsi="宋体"/>
                <w:color w:val="000000"/>
                <w:szCs w:val="24"/>
              </w:rPr>
            </w:pPr>
            <w:r>
              <w:rPr>
                <w:rFonts w:hint="eastAsia" w:ascii="宋体" w:hAnsi="宋体"/>
                <w:color w:val="000000"/>
                <w:szCs w:val="24"/>
              </w:rPr>
              <w:t>4</w:t>
            </w:r>
          </w:p>
        </w:tc>
        <w:tc>
          <w:tcPr>
            <w:tcW w:w="1021" w:type="pct"/>
            <w:tcBorders>
              <w:top w:val="nil"/>
              <w:left w:val="nil"/>
              <w:bottom w:val="single" w:color="auto" w:sz="4" w:space="0"/>
              <w:right w:val="single" w:color="auto" w:sz="4" w:space="0"/>
            </w:tcBorders>
            <w:shd w:val="clear" w:color="auto" w:fill="auto"/>
            <w:vAlign w:val="center"/>
          </w:tcPr>
          <w:p w14:paraId="0B66EF50">
            <w:pPr>
              <w:widowControl/>
              <w:jc w:val="center"/>
              <w:rPr>
                <w:rFonts w:ascii="宋体" w:hAnsi="宋体"/>
                <w:color w:val="000000"/>
                <w:szCs w:val="24"/>
              </w:rPr>
            </w:pPr>
            <w:r>
              <w:rPr>
                <w:rFonts w:hint="eastAsia" w:ascii="宋体" w:hAnsi="宋体"/>
                <w:color w:val="000000"/>
                <w:szCs w:val="24"/>
              </w:rPr>
              <w:t>重要时刻保障</w:t>
            </w:r>
          </w:p>
        </w:tc>
        <w:tc>
          <w:tcPr>
            <w:tcW w:w="505" w:type="pct"/>
            <w:tcBorders>
              <w:top w:val="nil"/>
              <w:left w:val="nil"/>
              <w:bottom w:val="single" w:color="auto" w:sz="4" w:space="0"/>
              <w:right w:val="single" w:color="auto" w:sz="4" w:space="0"/>
            </w:tcBorders>
            <w:shd w:val="clear" w:color="auto" w:fill="auto"/>
            <w:vAlign w:val="center"/>
          </w:tcPr>
          <w:p w14:paraId="06F779BA">
            <w:pPr>
              <w:widowControl/>
              <w:jc w:val="center"/>
              <w:rPr>
                <w:rFonts w:hint="eastAsia" w:ascii="宋体" w:hAnsi="宋体" w:eastAsia="微软雅黑"/>
                <w:color w:val="000000"/>
                <w:szCs w:val="24"/>
                <w:lang w:eastAsia="zh-CN"/>
              </w:rPr>
            </w:pPr>
            <w:r>
              <w:rPr>
                <w:rFonts w:hint="eastAsia" w:ascii="宋体" w:hAnsi="宋体"/>
                <w:color w:val="000000"/>
                <w:szCs w:val="24"/>
                <w:lang w:val="en-US" w:eastAsia="zh-CN"/>
              </w:rPr>
              <w:t>5</w:t>
            </w:r>
          </w:p>
        </w:tc>
        <w:tc>
          <w:tcPr>
            <w:tcW w:w="2120" w:type="pct"/>
            <w:tcBorders>
              <w:top w:val="nil"/>
              <w:left w:val="nil"/>
              <w:bottom w:val="single" w:color="auto" w:sz="4" w:space="0"/>
              <w:right w:val="single" w:color="auto" w:sz="4" w:space="0"/>
            </w:tcBorders>
            <w:shd w:val="clear" w:color="auto" w:fill="auto"/>
            <w:vAlign w:val="center"/>
          </w:tcPr>
          <w:p w14:paraId="5F0587BF">
            <w:pPr>
              <w:widowControl/>
              <w:rPr>
                <w:rFonts w:ascii="宋体" w:hAnsi="宋体"/>
                <w:color w:val="000000"/>
                <w:szCs w:val="24"/>
                <w:lang w:eastAsia="zh-CN"/>
              </w:rPr>
            </w:pPr>
            <w:r>
              <w:rPr>
                <w:rFonts w:hint="eastAsia" w:ascii="宋体" w:hAnsi="宋体"/>
                <w:color w:val="000000"/>
                <w:szCs w:val="24"/>
                <w:lang w:eastAsia="zh-CN"/>
              </w:rPr>
              <w:t>重要时刻保障期间，发生一次未按招标人要求提供服务扣5分，未及时提供报告扣1分</w:t>
            </w:r>
          </w:p>
        </w:tc>
        <w:tc>
          <w:tcPr>
            <w:tcW w:w="848" w:type="pct"/>
            <w:tcBorders>
              <w:top w:val="nil"/>
              <w:left w:val="nil"/>
              <w:bottom w:val="single" w:color="auto" w:sz="4" w:space="0"/>
              <w:right w:val="single" w:color="auto" w:sz="4" w:space="0"/>
            </w:tcBorders>
            <w:shd w:val="clear" w:color="auto" w:fill="auto"/>
            <w:vAlign w:val="center"/>
          </w:tcPr>
          <w:p w14:paraId="7235868C">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70B48993">
        <w:tblPrEx>
          <w:tblCellMar>
            <w:top w:w="0" w:type="dxa"/>
            <w:left w:w="108" w:type="dxa"/>
            <w:bottom w:w="0" w:type="dxa"/>
            <w:right w:w="108" w:type="dxa"/>
          </w:tblCellMar>
        </w:tblPrEx>
        <w:trPr>
          <w:trHeight w:val="52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2845031A">
            <w:pPr>
              <w:widowControl/>
              <w:jc w:val="center"/>
              <w:rPr>
                <w:rFonts w:ascii="宋体" w:hAnsi="宋体"/>
                <w:color w:val="000000"/>
                <w:szCs w:val="24"/>
              </w:rPr>
            </w:pPr>
            <w:r>
              <w:rPr>
                <w:rFonts w:hint="eastAsia" w:ascii="宋体" w:hAnsi="宋体"/>
                <w:color w:val="000000"/>
                <w:szCs w:val="24"/>
              </w:rPr>
              <w:t>5</w:t>
            </w:r>
          </w:p>
        </w:tc>
        <w:tc>
          <w:tcPr>
            <w:tcW w:w="1021" w:type="pct"/>
            <w:tcBorders>
              <w:top w:val="nil"/>
              <w:left w:val="nil"/>
              <w:bottom w:val="single" w:color="auto" w:sz="4" w:space="0"/>
              <w:right w:val="single" w:color="auto" w:sz="4" w:space="0"/>
            </w:tcBorders>
            <w:shd w:val="clear" w:color="auto" w:fill="auto"/>
            <w:vAlign w:val="center"/>
          </w:tcPr>
          <w:p w14:paraId="7A94B6E3">
            <w:pPr>
              <w:widowControl/>
              <w:jc w:val="center"/>
              <w:rPr>
                <w:rFonts w:ascii="宋体" w:hAnsi="宋体"/>
                <w:color w:val="000000"/>
                <w:szCs w:val="24"/>
              </w:rPr>
            </w:pPr>
            <w:r>
              <w:rPr>
                <w:rFonts w:hint="eastAsia" w:ascii="宋体" w:hAnsi="宋体"/>
                <w:color w:val="000000"/>
                <w:szCs w:val="24"/>
              </w:rPr>
              <w:t>远程支持服务</w:t>
            </w:r>
          </w:p>
        </w:tc>
        <w:tc>
          <w:tcPr>
            <w:tcW w:w="505" w:type="pct"/>
            <w:tcBorders>
              <w:top w:val="nil"/>
              <w:left w:val="nil"/>
              <w:bottom w:val="single" w:color="auto" w:sz="4" w:space="0"/>
              <w:right w:val="single" w:color="auto" w:sz="4" w:space="0"/>
            </w:tcBorders>
            <w:shd w:val="clear" w:color="auto" w:fill="auto"/>
            <w:vAlign w:val="center"/>
          </w:tcPr>
          <w:p w14:paraId="36391661">
            <w:pPr>
              <w:widowControl/>
              <w:jc w:val="center"/>
              <w:rPr>
                <w:rFonts w:ascii="宋体" w:hAnsi="宋体"/>
                <w:color w:val="000000"/>
                <w:szCs w:val="24"/>
              </w:rPr>
            </w:pPr>
            <w:r>
              <w:rPr>
                <w:rFonts w:ascii="宋体" w:hAnsi="宋体"/>
                <w:color w:val="000000"/>
                <w:szCs w:val="24"/>
              </w:rPr>
              <w:t>10</w:t>
            </w:r>
          </w:p>
        </w:tc>
        <w:tc>
          <w:tcPr>
            <w:tcW w:w="2120" w:type="pct"/>
            <w:tcBorders>
              <w:top w:val="nil"/>
              <w:left w:val="nil"/>
              <w:bottom w:val="single" w:color="auto" w:sz="4" w:space="0"/>
              <w:right w:val="single" w:color="auto" w:sz="4" w:space="0"/>
            </w:tcBorders>
            <w:shd w:val="clear" w:color="auto" w:fill="auto"/>
            <w:vAlign w:val="center"/>
          </w:tcPr>
          <w:p w14:paraId="471C6114">
            <w:pPr>
              <w:widowControl/>
              <w:rPr>
                <w:rFonts w:ascii="宋体" w:hAnsi="宋体"/>
                <w:color w:val="000000"/>
                <w:szCs w:val="24"/>
                <w:lang w:eastAsia="zh-CN"/>
              </w:rPr>
            </w:pPr>
            <w:r>
              <w:rPr>
                <w:rFonts w:hint="eastAsia" w:ascii="宋体" w:hAnsi="宋体"/>
                <w:color w:val="000000"/>
                <w:szCs w:val="24"/>
                <w:lang w:eastAsia="zh-CN"/>
              </w:rPr>
              <w:t>发生一次未能及时按照招标人要求提供设备故障远程支持服务的扣2分</w:t>
            </w:r>
          </w:p>
        </w:tc>
        <w:tc>
          <w:tcPr>
            <w:tcW w:w="848" w:type="pct"/>
            <w:tcBorders>
              <w:top w:val="nil"/>
              <w:left w:val="nil"/>
              <w:bottom w:val="single" w:color="auto" w:sz="4" w:space="0"/>
              <w:right w:val="single" w:color="auto" w:sz="4" w:space="0"/>
            </w:tcBorders>
            <w:shd w:val="clear" w:color="auto" w:fill="auto"/>
            <w:vAlign w:val="center"/>
          </w:tcPr>
          <w:p w14:paraId="26C50DF0">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44C0B201">
        <w:tblPrEx>
          <w:tblCellMar>
            <w:top w:w="0" w:type="dxa"/>
            <w:left w:w="108" w:type="dxa"/>
            <w:bottom w:w="0" w:type="dxa"/>
            <w:right w:w="108" w:type="dxa"/>
          </w:tblCellMar>
        </w:tblPrEx>
        <w:trPr>
          <w:trHeight w:val="524" w:hRule="atLeast"/>
          <w:jc w:val="center"/>
        </w:trPr>
        <w:tc>
          <w:tcPr>
            <w:tcW w:w="506" w:type="pct"/>
            <w:tcBorders>
              <w:top w:val="nil"/>
              <w:left w:val="single" w:color="auto" w:sz="4" w:space="0"/>
              <w:bottom w:val="single" w:color="auto" w:sz="4" w:space="0"/>
              <w:right w:val="single" w:color="auto" w:sz="4" w:space="0"/>
            </w:tcBorders>
            <w:shd w:val="clear" w:color="auto" w:fill="auto"/>
            <w:vAlign w:val="center"/>
          </w:tcPr>
          <w:p w14:paraId="590EC0FD">
            <w:pPr>
              <w:widowControl/>
              <w:jc w:val="center"/>
              <w:rPr>
                <w:rFonts w:ascii="宋体" w:hAnsi="宋体"/>
                <w:color w:val="000000"/>
                <w:szCs w:val="24"/>
              </w:rPr>
            </w:pPr>
            <w:r>
              <w:rPr>
                <w:rFonts w:ascii="宋体" w:hAnsi="宋体"/>
                <w:color w:val="000000"/>
                <w:szCs w:val="24"/>
              </w:rPr>
              <w:t>6</w:t>
            </w:r>
          </w:p>
        </w:tc>
        <w:tc>
          <w:tcPr>
            <w:tcW w:w="1021" w:type="pct"/>
            <w:tcBorders>
              <w:top w:val="nil"/>
              <w:left w:val="nil"/>
              <w:bottom w:val="single" w:color="auto" w:sz="4" w:space="0"/>
              <w:right w:val="single" w:color="auto" w:sz="4" w:space="0"/>
            </w:tcBorders>
            <w:shd w:val="clear" w:color="auto" w:fill="auto"/>
            <w:vAlign w:val="center"/>
          </w:tcPr>
          <w:p w14:paraId="260E9C07">
            <w:pPr>
              <w:widowControl/>
              <w:jc w:val="center"/>
              <w:rPr>
                <w:rFonts w:ascii="宋体" w:hAnsi="宋体"/>
                <w:color w:val="000000"/>
                <w:szCs w:val="24"/>
              </w:rPr>
            </w:pPr>
            <w:r>
              <w:rPr>
                <w:rFonts w:hint="eastAsia" w:ascii="宋体" w:hAnsi="宋体"/>
                <w:color w:val="000000"/>
                <w:szCs w:val="24"/>
              </w:rPr>
              <w:t>设备档案库建设服务</w:t>
            </w:r>
          </w:p>
        </w:tc>
        <w:tc>
          <w:tcPr>
            <w:tcW w:w="505" w:type="pct"/>
            <w:tcBorders>
              <w:top w:val="nil"/>
              <w:left w:val="nil"/>
              <w:bottom w:val="single" w:color="auto" w:sz="4" w:space="0"/>
              <w:right w:val="single" w:color="auto" w:sz="4" w:space="0"/>
            </w:tcBorders>
            <w:shd w:val="clear" w:color="auto" w:fill="auto"/>
            <w:vAlign w:val="center"/>
          </w:tcPr>
          <w:p w14:paraId="19848486">
            <w:pPr>
              <w:widowControl/>
              <w:jc w:val="center"/>
              <w:rPr>
                <w:rFonts w:ascii="宋体" w:hAnsi="宋体"/>
                <w:color w:val="000000"/>
                <w:szCs w:val="24"/>
              </w:rPr>
            </w:pPr>
            <w:r>
              <w:rPr>
                <w:rFonts w:hint="eastAsia" w:ascii="宋体" w:hAnsi="宋体"/>
                <w:color w:val="000000"/>
                <w:szCs w:val="24"/>
              </w:rPr>
              <w:t>5</w:t>
            </w:r>
          </w:p>
        </w:tc>
        <w:tc>
          <w:tcPr>
            <w:tcW w:w="2120" w:type="pct"/>
            <w:tcBorders>
              <w:top w:val="nil"/>
              <w:left w:val="nil"/>
              <w:bottom w:val="single" w:color="auto" w:sz="4" w:space="0"/>
              <w:right w:val="single" w:color="auto" w:sz="4" w:space="0"/>
            </w:tcBorders>
            <w:shd w:val="clear" w:color="auto" w:fill="auto"/>
            <w:vAlign w:val="center"/>
          </w:tcPr>
          <w:p w14:paraId="0BDCC334">
            <w:pPr>
              <w:widowControl/>
              <w:rPr>
                <w:rFonts w:ascii="宋体" w:hAnsi="宋体"/>
                <w:color w:val="000000"/>
                <w:szCs w:val="24"/>
                <w:lang w:eastAsia="zh-CN"/>
              </w:rPr>
            </w:pPr>
            <w:r>
              <w:rPr>
                <w:rFonts w:hint="eastAsia" w:ascii="宋体" w:hAnsi="宋体"/>
                <w:color w:val="000000"/>
                <w:szCs w:val="24"/>
                <w:lang w:eastAsia="zh-CN"/>
              </w:rPr>
              <w:t>未提交招标人维保设备档案库信息的扣5分，未及时更新档档案库信息扣2分。</w:t>
            </w:r>
          </w:p>
        </w:tc>
        <w:tc>
          <w:tcPr>
            <w:tcW w:w="848" w:type="pct"/>
            <w:tcBorders>
              <w:top w:val="nil"/>
              <w:left w:val="nil"/>
              <w:bottom w:val="single" w:color="auto" w:sz="4" w:space="0"/>
              <w:right w:val="single" w:color="auto" w:sz="4" w:space="0"/>
            </w:tcBorders>
            <w:shd w:val="clear" w:color="auto" w:fill="auto"/>
            <w:vAlign w:val="center"/>
          </w:tcPr>
          <w:p w14:paraId="2F39500C">
            <w:pPr>
              <w:widowControl/>
              <w:jc w:val="center"/>
              <w:rPr>
                <w:rFonts w:ascii="宋体" w:hAnsi="宋体"/>
                <w:color w:val="000000"/>
                <w:szCs w:val="24"/>
                <w:lang w:eastAsia="zh-CN"/>
              </w:rPr>
            </w:pPr>
            <w:r>
              <w:rPr>
                <w:rFonts w:hint="eastAsia" w:ascii="宋体" w:hAnsi="宋体"/>
                <w:color w:val="000000"/>
                <w:szCs w:val="24"/>
                <w:lang w:eastAsia="zh-CN"/>
              </w:rPr>
              <w:t>　</w:t>
            </w:r>
          </w:p>
        </w:tc>
      </w:tr>
      <w:tr w14:paraId="79E35522">
        <w:tblPrEx>
          <w:tblCellMar>
            <w:top w:w="0" w:type="dxa"/>
            <w:left w:w="108" w:type="dxa"/>
            <w:bottom w:w="0" w:type="dxa"/>
            <w:right w:w="108" w:type="dxa"/>
          </w:tblCellMar>
        </w:tblPrEx>
        <w:trPr>
          <w:trHeight w:val="524" w:hRule="atLeast"/>
          <w:jc w:val="center"/>
        </w:trPr>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2F799B71">
            <w:pPr>
              <w:widowControl/>
              <w:jc w:val="center"/>
              <w:rPr>
                <w:rFonts w:ascii="宋体" w:hAnsi="宋体"/>
                <w:color w:val="000000"/>
                <w:szCs w:val="24"/>
              </w:rPr>
            </w:pPr>
            <w:r>
              <w:rPr>
                <w:rFonts w:ascii="宋体" w:hAnsi="宋体"/>
                <w:color w:val="000000"/>
                <w:szCs w:val="24"/>
              </w:rPr>
              <w:t>7</w:t>
            </w:r>
          </w:p>
        </w:tc>
        <w:tc>
          <w:tcPr>
            <w:tcW w:w="1021" w:type="pct"/>
            <w:tcBorders>
              <w:top w:val="single" w:color="auto" w:sz="4" w:space="0"/>
              <w:left w:val="nil"/>
              <w:bottom w:val="single" w:color="auto" w:sz="4" w:space="0"/>
              <w:right w:val="single" w:color="auto" w:sz="4" w:space="0"/>
            </w:tcBorders>
            <w:shd w:val="clear" w:color="auto" w:fill="auto"/>
            <w:vAlign w:val="center"/>
          </w:tcPr>
          <w:p w14:paraId="674D180A">
            <w:pPr>
              <w:widowControl/>
              <w:jc w:val="center"/>
              <w:rPr>
                <w:rFonts w:ascii="宋体" w:hAnsi="宋体"/>
                <w:color w:val="000000"/>
                <w:szCs w:val="24"/>
              </w:rPr>
            </w:pPr>
            <w:r>
              <w:rPr>
                <w:rFonts w:hint="eastAsia" w:ascii="宋体" w:hAnsi="宋体"/>
                <w:color w:val="000000"/>
                <w:szCs w:val="24"/>
                <w:lang w:eastAsia="zh-CN"/>
              </w:rPr>
              <w:t>服务人员</w:t>
            </w:r>
            <w:r>
              <w:rPr>
                <w:rFonts w:hint="eastAsia" w:ascii="宋体" w:hAnsi="宋体"/>
                <w:color w:val="000000"/>
                <w:szCs w:val="24"/>
              </w:rPr>
              <w:t>要求</w:t>
            </w:r>
          </w:p>
        </w:tc>
        <w:tc>
          <w:tcPr>
            <w:tcW w:w="505" w:type="pct"/>
            <w:tcBorders>
              <w:top w:val="single" w:color="auto" w:sz="4" w:space="0"/>
              <w:left w:val="nil"/>
              <w:bottom w:val="single" w:color="auto" w:sz="4" w:space="0"/>
              <w:right w:val="single" w:color="auto" w:sz="4" w:space="0"/>
            </w:tcBorders>
            <w:shd w:val="clear" w:color="auto" w:fill="auto"/>
            <w:vAlign w:val="center"/>
          </w:tcPr>
          <w:p w14:paraId="13A0173F">
            <w:pPr>
              <w:widowControl/>
              <w:jc w:val="center"/>
              <w:rPr>
                <w:rFonts w:hint="default" w:ascii="宋体" w:hAnsi="宋体" w:eastAsia="微软雅黑"/>
                <w:color w:val="000000"/>
                <w:szCs w:val="24"/>
                <w:lang w:val="en-US" w:eastAsia="zh-CN"/>
              </w:rPr>
            </w:pPr>
            <w:r>
              <w:rPr>
                <w:rFonts w:hint="eastAsia" w:ascii="宋体" w:hAnsi="宋体"/>
                <w:color w:val="000000"/>
                <w:szCs w:val="24"/>
                <w:lang w:val="en-US" w:eastAsia="zh-CN"/>
              </w:rPr>
              <w:t>25</w:t>
            </w:r>
          </w:p>
        </w:tc>
        <w:tc>
          <w:tcPr>
            <w:tcW w:w="2120" w:type="pct"/>
            <w:tcBorders>
              <w:top w:val="single" w:color="auto" w:sz="4" w:space="0"/>
              <w:left w:val="nil"/>
              <w:bottom w:val="single" w:color="auto" w:sz="4" w:space="0"/>
              <w:right w:val="single" w:color="auto" w:sz="4" w:space="0"/>
            </w:tcBorders>
            <w:shd w:val="clear" w:color="auto" w:fill="auto"/>
            <w:vAlign w:val="center"/>
          </w:tcPr>
          <w:p w14:paraId="7FA876AB">
            <w:pPr>
              <w:widowControl/>
              <w:rPr>
                <w:rFonts w:ascii="宋体" w:hAnsi="宋体"/>
                <w:color w:val="000000"/>
                <w:szCs w:val="24"/>
                <w:lang w:eastAsia="zh-CN"/>
              </w:rPr>
            </w:pPr>
            <w:r>
              <w:rPr>
                <w:rFonts w:ascii="宋体" w:hAnsi="宋体"/>
                <w:color w:val="000000"/>
                <w:szCs w:val="24"/>
                <w:lang w:eastAsia="zh-CN"/>
              </w:rPr>
              <w:t>1</w:t>
            </w:r>
            <w:r>
              <w:rPr>
                <w:rFonts w:hint="eastAsia" w:ascii="宋体" w:hAnsi="宋体"/>
                <w:color w:val="000000"/>
                <w:szCs w:val="24"/>
                <w:lang w:eastAsia="zh-CN"/>
              </w:rPr>
              <w:t>、日常考勤（早晚各一次），每缺失一次扣</w:t>
            </w:r>
            <w:r>
              <w:rPr>
                <w:rFonts w:ascii="宋体" w:hAnsi="宋体"/>
                <w:color w:val="000000"/>
                <w:szCs w:val="24"/>
              </w:rPr>
              <w:t>1</w:t>
            </w:r>
            <w:r>
              <w:rPr>
                <w:rFonts w:hint="eastAsia" w:ascii="宋体" w:hAnsi="宋体"/>
                <w:color w:val="000000"/>
                <w:szCs w:val="24"/>
                <w:lang w:eastAsia="zh-CN"/>
              </w:rPr>
              <w:t>分。</w:t>
            </w:r>
          </w:p>
          <w:p w14:paraId="7CDD7375">
            <w:pPr>
              <w:widowControl/>
              <w:rPr>
                <w:rFonts w:ascii="宋体" w:hAnsi="宋体"/>
                <w:color w:val="000000"/>
                <w:szCs w:val="24"/>
                <w:lang w:eastAsia="zh-CN"/>
              </w:rPr>
            </w:pPr>
            <w:r>
              <w:rPr>
                <w:rFonts w:hint="eastAsia" w:ascii="宋体" w:hAnsi="宋体"/>
                <w:color w:val="000000"/>
                <w:szCs w:val="24"/>
                <w:lang w:eastAsia="zh-CN"/>
              </w:rPr>
              <w:t>2、服务态度不规范等问题引起用户投诉经查实考核每次扣</w:t>
            </w:r>
            <w:r>
              <w:rPr>
                <w:rFonts w:ascii="宋体" w:hAnsi="宋体"/>
                <w:color w:val="000000"/>
                <w:szCs w:val="24"/>
                <w:lang w:eastAsia="zh-CN"/>
              </w:rPr>
              <w:t>3</w:t>
            </w:r>
            <w:r>
              <w:rPr>
                <w:rFonts w:hint="eastAsia" w:ascii="宋体" w:hAnsi="宋体"/>
                <w:color w:val="000000"/>
                <w:szCs w:val="24"/>
                <w:lang w:eastAsia="zh-CN"/>
              </w:rPr>
              <w:t>分。</w:t>
            </w:r>
          </w:p>
          <w:p w14:paraId="56A33ABA">
            <w:pPr>
              <w:widowControl/>
              <w:rPr>
                <w:rFonts w:ascii="宋体" w:hAnsi="宋体"/>
                <w:color w:val="000000"/>
                <w:szCs w:val="24"/>
                <w:lang w:eastAsia="zh-CN"/>
              </w:rPr>
            </w:pPr>
            <w:r>
              <w:rPr>
                <w:rFonts w:hint="eastAsia" w:ascii="宋体" w:hAnsi="宋体"/>
                <w:color w:val="000000"/>
                <w:szCs w:val="24"/>
                <w:lang w:eastAsia="zh-CN"/>
              </w:rPr>
              <w:t>3、服务时未做到“工完场清”， 每次扣</w:t>
            </w:r>
            <w:r>
              <w:rPr>
                <w:rFonts w:ascii="宋体" w:hAnsi="宋体"/>
                <w:color w:val="000000"/>
                <w:szCs w:val="24"/>
                <w:lang w:eastAsia="zh-CN"/>
              </w:rPr>
              <w:t>2</w:t>
            </w:r>
            <w:r>
              <w:rPr>
                <w:rFonts w:hint="eastAsia" w:ascii="宋体" w:hAnsi="宋体"/>
                <w:color w:val="000000"/>
                <w:szCs w:val="24"/>
                <w:lang w:eastAsia="zh-CN"/>
              </w:rPr>
              <w:t>分。</w:t>
            </w:r>
          </w:p>
          <w:p w14:paraId="4F10C8B6">
            <w:pPr>
              <w:widowControl/>
              <w:rPr>
                <w:rFonts w:ascii="宋体" w:hAnsi="宋体"/>
                <w:color w:val="000000"/>
                <w:szCs w:val="24"/>
                <w:lang w:eastAsia="zh-CN"/>
              </w:rPr>
            </w:pPr>
            <w:r>
              <w:rPr>
                <w:rFonts w:ascii="宋体" w:hAnsi="宋体"/>
                <w:color w:val="000000"/>
                <w:szCs w:val="24"/>
                <w:lang w:eastAsia="zh-CN"/>
              </w:rPr>
              <w:t>4</w:t>
            </w:r>
            <w:r>
              <w:rPr>
                <w:rFonts w:hint="eastAsia" w:ascii="宋体" w:hAnsi="宋体"/>
                <w:color w:val="000000"/>
                <w:szCs w:val="24"/>
                <w:lang w:eastAsia="zh-CN"/>
              </w:rPr>
              <w:t>、运维过程中因处理故障的方法失当而造成重大影响或者设备损坏，每次扣</w:t>
            </w:r>
            <w:r>
              <w:rPr>
                <w:rFonts w:ascii="宋体" w:hAnsi="宋体"/>
                <w:color w:val="000000"/>
                <w:szCs w:val="24"/>
                <w:lang w:eastAsia="zh-CN"/>
              </w:rPr>
              <w:t>20</w:t>
            </w:r>
            <w:r>
              <w:rPr>
                <w:rFonts w:hint="eastAsia" w:ascii="宋体" w:hAnsi="宋体"/>
                <w:color w:val="000000"/>
                <w:szCs w:val="24"/>
                <w:lang w:eastAsia="zh-CN"/>
              </w:rPr>
              <w:t>分。</w:t>
            </w:r>
          </w:p>
          <w:p w14:paraId="51F0D179">
            <w:pPr>
              <w:widowControl/>
              <w:rPr>
                <w:rFonts w:ascii="宋体" w:hAnsi="宋体"/>
                <w:color w:val="000000"/>
                <w:szCs w:val="24"/>
                <w:lang w:eastAsia="zh-CN"/>
              </w:rPr>
            </w:pPr>
            <w:r>
              <w:rPr>
                <w:rFonts w:hint="eastAsia" w:ascii="宋体" w:hAnsi="宋体"/>
                <w:color w:val="000000"/>
                <w:szCs w:val="24"/>
                <w:lang w:eastAsia="zh-CN"/>
              </w:rPr>
              <w:t>5、工作期间发现故障未做好登记工作或者未及时上报，每发现一例扣</w:t>
            </w:r>
            <w:r>
              <w:rPr>
                <w:rFonts w:ascii="宋体" w:hAnsi="宋体"/>
                <w:color w:val="000000"/>
                <w:szCs w:val="24"/>
                <w:lang w:eastAsia="zh-CN"/>
              </w:rPr>
              <w:t>2</w:t>
            </w:r>
            <w:r>
              <w:rPr>
                <w:rFonts w:hint="eastAsia" w:ascii="宋体" w:hAnsi="宋体"/>
                <w:color w:val="000000"/>
                <w:szCs w:val="24"/>
                <w:lang w:eastAsia="zh-CN"/>
              </w:rPr>
              <w:t>分。</w:t>
            </w:r>
          </w:p>
          <w:p w14:paraId="1EA0E341">
            <w:pPr>
              <w:widowControl/>
              <w:rPr>
                <w:rFonts w:ascii="宋体" w:hAnsi="宋体"/>
                <w:color w:val="000000"/>
                <w:szCs w:val="24"/>
                <w:lang w:eastAsia="zh-CN"/>
              </w:rPr>
            </w:pPr>
            <w:r>
              <w:rPr>
                <w:rFonts w:ascii="宋体" w:hAnsi="宋体"/>
                <w:color w:val="000000"/>
                <w:szCs w:val="24"/>
                <w:lang w:eastAsia="zh-CN"/>
              </w:rPr>
              <w:t>6</w:t>
            </w:r>
            <w:r>
              <w:rPr>
                <w:rFonts w:hint="eastAsia" w:ascii="宋体" w:hAnsi="宋体"/>
                <w:color w:val="000000"/>
                <w:szCs w:val="24"/>
                <w:lang w:eastAsia="zh-CN"/>
              </w:rPr>
              <w:t>、服务人员电话必须保持24小时通信畅通，对久呼不应，每次扣2分。</w:t>
            </w:r>
          </w:p>
        </w:tc>
        <w:tc>
          <w:tcPr>
            <w:tcW w:w="848" w:type="pct"/>
            <w:tcBorders>
              <w:top w:val="single" w:color="auto" w:sz="4" w:space="0"/>
              <w:left w:val="nil"/>
              <w:bottom w:val="single" w:color="auto" w:sz="4" w:space="0"/>
              <w:right w:val="single" w:color="auto" w:sz="4" w:space="0"/>
            </w:tcBorders>
            <w:shd w:val="clear" w:color="auto" w:fill="auto"/>
            <w:vAlign w:val="center"/>
          </w:tcPr>
          <w:p w14:paraId="1D3AF55B">
            <w:pPr>
              <w:widowControl/>
              <w:jc w:val="center"/>
              <w:rPr>
                <w:rFonts w:ascii="宋体" w:hAnsi="宋体"/>
                <w:color w:val="000000"/>
                <w:szCs w:val="24"/>
                <w:lang w:eastAsia="zh-CN"/>
              </w:rPr>
            </w:pPr>
            <w:r>
              <w:rPr>
                <w:rFonts w:hint="eastAsia" w:ascii="宋体" w:hAnsi="宋体"/>
                <w:color w:val="000000"/>
                <w:szCs w:val="24"/>
                <w:lang w:eastAsia="zh-CN"/>
              </w:rPr>
              <w:t>　</w:t>
            </w:r>
          </w:p>
        </w:tc>
      </w:tr>
    </w:tbl>
    <w:p w14:paraId="4EA44EDC">
      <w:pPr>
        <w:spacing w:after="62" w:line="360" w:lineRule="auto"/>
        <w:ind w:firstLine="422" w:firstLineChars="200"/>
        <w:jc w:val="left"/>
        <w:outlineLvl w:val="3"/>
        <w:rPr>
          <w:rFonts w:hint="eastAsia" w:ascii="宋体" w:hAnsi="宋体" w:eastAsia="宋体" w:cs="宋体"/>
          <w:b/>
          <w:bCs/>
          <w:szCs w:val="21"/>
        </w:rPr>
      </w:pPr>
    </w:p>
    <w:p w14:paraId="2D16D5CE">
      <w:pPr>
        <w:spacing w:after="62" w:line="360" w:lineRule="auto"/>
        <w:ind w:firstLine="422" w:firstLineChars="200"/>
        <w:jc w:val="left"/>
        <w:outlineLvl w:val="3"/>
        <w:rPr>
          <w:rFonts w:hint="eastAsia" w:ascii="宋体" w:hAnsi="宋体" w:eastAsia="宋体" w:cs="宋体"/>
          <w:b/>
          <w:bCs/>
          <w:color w:val="000000"/>
          <w:kern w:val="0"/>
          <w:szCs w:val="21"/>
        </w:rPr>
      </w:pPr>
      <w:r>
        <w:rPr>
          <w:rFonts w:hint="eastAsia" w:ascii="宋体" w:hAnsi="宋体" w:eastAsia="宋体" w:cs="宋体"/>
          <w:b/>
          <w:bCs/>
          <w:szCs w:val="21"/>
        </w:rPr>
        <w:t>备注：以上各项服务均取得招标人机房负责人或相关人员签字确认的</w:t>
      </w:r>
      <w:r>
        <w:rPr>
          <w:rFonts w:hint="eastAsia" w:ascii="宋体" w:hAnsi="宋体" w:eastAsia="宋体" w:cs="宋体"/>
          <w:b/>
          <w:bCs/>
          <w:color w:val="000000"/>
          <w:kern w:val="0"/>
          <w:szCs w:val="21"/>
        </w:rPr>
        <w:t>书面</w:t>
      </w:r>
      <w:r>
        <w:rPr>
          <w:rFonts w:hint="eastAsia" w:ascii="宋体" w:hAnsi="宋体" w:eastAsia="宋体" w:cs="宋体"/>
          <w:b/>
          <w:bCs/>
          <w:color w:val="000000"/>
          <w:kern w:val="0"/>
          <w:szCs w:val="21"/>
          <w:lang w:val="en-US" w:eastAsia="zh-CN"/>
        </w:rPr>
        <w:t>维保记录。</w:t>
      </w:r>
      <w:r>
        <w:rPr>
          <w:rFonts w:hint="eastAsia" w:ascii="宋体" w:hAnsi="宋体" w:eastAsia="宋体" w:cs="宋体"/>
          <w:b/>
          <w:bCs/>
          <w:color w:val="000000"/>
          <w:kern w:val="0"/>
          <w:szCs w:val="21"/>
        </w:rPr>
        <w:t>视为最终验收依据。</w:t>
      </w:r>
      <w:bookmarkEnd w:id="0"/>
    </w:p>
    <w:p w14:paraId="733488D6">
      <w:pP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br w:type="page"/>
      </w:r>
    </w:p>
    <w:p w14:paraId="33D833BE">
      <w:pPr>
        <w:spacing w:after="62" w:line="360" w:lineRule="auto"/>
        <w:ind w:firstLine="435"/>
        <w:rPr>
          <w:rFonts w:ascii="宋体" w:hAnsi="宋体" w:eastAsia="宋体"/>
          <w:szCs w:val="21"/>
        </w:rPr>
      </w:pPr>
      <w:r>
        <w:rPr>
          <w:rFonts w:hint="eastAsia" w:ascii="宋体" w:hAnsi="宋体" w:eastAsia="宋体"/>
          <w:szCs w:val="21"/>
        </w:rPr>
        <w:t>本项目综合评分满分为1</w:t>
      </w:r>
      <w:r>
        <w:rPr>
          <w:rFonts w:ascii="宋体" w:hAnsi="宋体" w:eastAsia="宋体"/>
          <w:szCs w:val="21"/>
        </w:rPr>
        <w:t>00</w:t>
      </w:r>
      <w:r>
        <w:rPr>
          <w:rFonts w:hint="eastAsia" w:ascii="宋体" w:hAnsi="宋体" w:eastAsia="宋体"/>
          <w:szCs w:val="21"/>
        </w:rPr>
        <w:t>分，其中：技术资信分值占总分值的权重为</w:t>
      </w:r>
      <w:r>
        <w:rPr>
          <w:rFonts w:ascii="宋体" w:hAnsi="宋体" w:eastAsia="宋体"/>
          <w:szCs w:val="21"/>
          <w:u w:val="single"/>
        </w:rPr>
        <w:t>7</w:t>
      </w:r>
      <w:r>
        <w:rPr>
          <w:rFonts w:hint="eastAsia" w:ascii="宋体" w:hAnsi="宋体" w:eastAsia="宋体"/>
          <w:szCs w:val="21"/>
          <w:u w:val="single"/>
        </w:rPr>
        <w:t>0</w:t>
      </w:r>
      <w:r>
        <w:rPr>
          <w:rFonts w:ascii="宋体" w:hAnsi="宋体" w:eastAsia="宋体"/>
          <w:szCs w:val="21"/>
        </w:rPr>
        <w:t>%，价格分值占总分值的权重为</w:t>
      </w:r>
      <w:r>
        <w:rPr>
          <w:rFonts w:ascii="宋体" w:hAnsi="宋体" w:eastAsia="宋体"/>
          <w:szCs w:val="21"/>
          <w:u w:val="single"/>
        </w:rPr>
        <w:t>3</w:t>
      </w:r>
      <w:r>
        <w:rPr>
          <w:rFonts w:hint="eastAsia" w:ascii="宋体" w:hAnsi="宋体" w:eastAsia="宋体"/>
          <w:szCs w:val="21"/>
          <w:u w:val="single"/>
        </w:rPr>
        <w:t>0</w:t>
      </w:r>
      <w:r>
        <w:rPr>
          <w:rFonts w:ascii="宋体" w:hAnsi="宋体" w:eastAsia="宋体"/>
          <w:szCs w:val="21"/>
        </w:rPr>
        <w:t>%。具体评分细则如下：</w:t>
      </w:r>
    </w:p>
    <w:tbl>
      <w:tblPr>
        <w:tblStyle w:val="29"/>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15"/>
        <w:gridCol w:w="6589"/>
        <w:gridCol w:w="915"/>
      </w:tblGrid>
      <w:tr w14:paraId="318C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5" w:type="pct"/>
            <w:vAlign w:val="center"/>
          </w:tcPr>
          <w:p w14:paraId="615F481B">
            <w:pPr>
              <w:spacing w:after="62" w:line="360" w:lineRule="auto"/>
              <w:jc w:val="center"/>
              <w:textAlignment w:val="baseline"/>
              <w:rPr>
                <w:rFonts w:ascii="宋体" w:hAnsi="宋体" w:eastAsia="宋体" w:cs="宋体"/>
                <w:b/>
                <w:szCs w:val="21"/>
              </w:rPr>
            </w:pPr>
            <w:r>
              <w:rPr>
                <w:rFonts w:hint="eastAsia" w:ascii="宋体" w:hAnsi="宋体" w:eastAsia="宋体" w:cs="宋体"/>
                <w:b/>
                <w:szCs w:val="21"/>
              </w:rPr>
              <w:t>序号</w:t>
            </w:r>
          </w:p>
        </w:tc>
        <w:tc>
          <w:tcPr>
            <w:tcW w:w="602" w:type="pct"/>
            <w:vAlign w:val="center"/>
          </w:tcPr>
          <w:p w14:paraId="2657B7FA">
            <w:pPr>
              <w:spacing w:after="62" w:line="360" w:lineRule="auto"/>
              <w:jc w:val="center"/>
              <w:textAlignment w:val="baseline"/>
              <w:rPr>
                <w:rFonts w:ascii="宋体" w:hAnsi="宋体" w:eastAsia="宋体" w:cs="宋体"/>
                <w:b/>
                <w:szCs w:val="21"/>
              </w:rPr>
            </w:pPr>
            <w:r>
              <w:rPr>
                <w:rFonts w:hint="eastAsia" w:ascii="宋体" w:hAnsi="宋体" w:eastAsia="宋体" w:cs="宋体"/>
                <w:b/>
                <w:szCs w:val="21"/>
              </w:rPr>
              <w:t>评分项</w:t>
            </w:r>
          </w:p>
        </w:tc>
        <w:tc>
          <w:tcPr>
            <w:tcW w:w="3559" w:type="pct"/>
            <w:vAlign w:val="center"/>
          </w:tcPr>
          <w:p w14:paraId="6EFF52F7">
            <w:pPr>
              <w:spacing w:after="62" w:line="360" w:lineRule="auto"/>
              <w:jc w:val="center"/>
              <w:textAlignment w:val="baseline"/>
              <w:rPr>
                <w:rFonts w:ascii="宋体" w:hAnsi="宋体" w:eastAsia="宋体" w:cs="宋体"/>
                <w:b/>
                <w:szCs w:val="21"/>
              </w:rPr>
            </w:pPr>
            <w:r>
              <w:rPr>
                <w:rFonts w:hint="eastAsia" w:ascii="宋体" w:hAnsi="宋体" w:eastAsia="宋体" w:cs="宋体"/>
                <w:b/>
                <w:szCs w:val="21"/>
              </w:rPr>
              <w:t>评标标准</w:t>
            </w:r>
          </w:p>
        </w:tc>
        <w:tc>
          <w:tcPr>
            <w:tcW w:w="494" w:type="pct"/>
            <w:vAlign w:val="center"/>
          </w:tcPr>
          <w:p w14:paraId="459805BB">
            <w:pPr>
              <w:spacing w:after="62" w:line="360" w:lineRule="auto"/>
              <w:jc w:val="center"/>
              <w:textAlignment w:val="baseline"/>
              <w:rPr>
                <w:rFonts w:ascii="宋体" w:hAnsi="宋体" w:eastAsia="宋体" w:cs="宋体"/>
                <w:b/>
                <w:szCs w:val="21"/>
              </w:rPr>
            </w:pPr>
            <w:r>
              <w:rPr>
                <w:rFonts w:hint="eastAsia" w:ascii="宋体" w:hAnsi="宋体" w:eastAsia="宋体" w:cs="宋体"/>
                <w:b/>
                <w:szCs w:val="21"/>
              </w:rPr>
              <w:t>分值</w:t>
            </w:r>
          </w:p>
        </w:tc>
      </w:tr>
      <w:tr w14:paraId="3DDE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5" w:type="pct"/>
            <w:vAlign w:val="center"/>
          </w:tcPr>
          <w:p w14:paraId="7C171753">
            <w:pPr>
              <w:spacing w:after="62" w:line="360" w:lineRule="auto"/>
              <w:jc w:val="center"/>
              <w:rPr>
                <w:rFonts w:ascii="宋体" w:hAnsi="宋体" w:eastAsia="宋体" w:cs="宋体"/>
                <w:bCs/>
                <w:szCs w:val="21"/>
              </w:rPr>
            </w:pPr>
            <w:r>
              <w:rPr>
                <w:rFonts w:hint="eastAsia" w:ascii="宋体" w:hAnsi="宋体" w:eastAsia="宋体" w:cs="宋体"/>
                <w:bCs/>
                <w:szCs w:val="21"/>
              </w:rPr>
              <w:t>1</w:t>
            </w:r>
          </w:p>
        </w:tc>
        <w:tc>
          <w:tcPr>
            <w:tcW w:w="602" w:type="pct"/>
            <w:vAlign w:val="center"/>
          </w:tcPr>
          <w:p w14:paraId="5A0094EE">
            <w:pPr>
              <w:spacing w:after="62" w:line="360" w:lineRule="auto"/>
              <w:jc w:val="center"/>
              <w:rPr>
                <w:rFonts w:ascii="宋体" w:hAnsi="宋体" w:eastAsia="宋体" w:cs="宋体"/>
                <w:bCs/>
                <w:szCs w:val="21"/>
              </w:rPr>
            </w:pPr>
            <w:r>
              <w:rPr>
                <w:rFonts w:hint="eastAsia" w:ascii="宋体" w:hAnsi="宋体" w:eastAsia="宋体" w:cs="宋体"/>
                <w:bCs/>
                <w:szCs w:val="21"/>
              </w:rPr>
              <w:t>运维服务方案</w:t>
            </w:r>
          </w:p>
        </w:tc>
        <w:tc>
          <w:tcPr>
            <w:tcW w:w="3559" w:type="pct"/>
            <w:vAlign w:val="center"/>
          </w:tcPr>
          <w:p w14:paraId="41694B87">
            <w:pPr>
              <w:spacing w:after="62" w:line="360" w:lineRule="auto"/>
              <w:rPr>
                <w:rFonts w:ascii="宋体" w:hAnsi="宋体" w:eastAsia="宋体"/>
                <w:szCs w:val="21"/>
              </w:rPr>
            </w:pPr>
            <w:r>
              <w:rPr>
                <w:rFonts w:hint="eastAsia" w:ascii="宋体" w:hAnsi="宋体" w:eastAsia="宋体"/>
                <w:szCs w:val="21"/>
              </w:rPr>
              <w:t>投标人提交的系统运行维护方案与需求的吻合程度，包括方案的科学性、先进性、可靠性、成熟性、合理性、可行性;对项目需求的理解情况以及与项目对应需求的满足程度，评审委会员给予综合评审:</w:t>
            </w:r>
          </w:p>
          <w:p w14:paraId="6E0BA328">
            <w:pPr>
              <w:spacing w:after="62" w:line="360" w:lineRule="auto"/>
              <w:rPr>
                <w:rFonts w:ascii="宋体" w:hAnsi="宋体" w:eastAsia="宋体"/>
                <w:szCs w:val="21"/>
              </w:rPr>
            </w:pPr>
            <w:bookmarkStart w:id="1" w:name="OLE_LINK57"/>
            <w:r>
              <w:rPr>
                <w:rFonts w:ascii="宋体" w:hAnsi="宋体" w:eastAsia="宋体"/>
                <w:szCs w:val="21"/>
              </w:rPr>
              <w:t>1.方案全面完整、针对性强，实施过程中的管理保障、技术保障措施详细的，得</w:t>
            </w:r>
            <w:r>
              <w:rPr>
                <w:rFonts w:hint="eastAsia" w:ascii="宋体" w:hAnsi="宋体" w:eastAsia="宋体"/>
                <w:szCs w:val="21"/>
              </w:rPr>
              <w:t>1</w:t>
            </w:r>
            <w:r>
              <w:rPr>
                <w:rFonts w:ascii="宋体" w:hAnsi="宋体" w:eastAsia="宋体"/>
                <w:szCs w:val="21"/>
              </w:rPr>
              <w:t xml:space="preserve">5分； </w:t>
            </w:r>
          </w:p>
          <w:p w14:paraId="26954E7E">
            <w:pPr>
              <w:spacing w:after="62" w:line="360" w:lineRule="auto"/>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方案较全面完整，针对性、保障制度针对性较</w:t>
            </w:r>
            <w:r>
              <w:rPr>
                <w:rFonts w:hint="eastAsia" w:ascii="宋体" w:hAnsi="宋体" w:eastAsia="宋体"/>
                <w:szCs w:val="21"/>
              </w:rPr>
              <w:t>好</w:t>
            </w:r>
            <w:r>
              <w:rPr>
                <w:rFonts w:ascii="宋体" w:hAnsi="宋体" w:eastAsia="宋体"/>
                <w:szCs w:val="21"/>
              </w:rPr>
              <w:t xml:space="preserve">的，得10分； </w:t>
            </w:r>
          </w:p>
          <w:p w14:paraId="7F653A86">
            <w:pPr>
              <w:spacing w:after="62" w:line="360" w:lineRule="auto"/>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方案完整性和针对性有待进一步完 善的，得5分；</w:t>
            </w:r>
          </w:p>
          <w:p w14:paraId="7C531BD7">
            <w:pPr>
              <w:spacing w:after="62" w:line="360" w:lineRule="auto"/>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较差或未提供任何内容的不得分。</w:t>
            </w:r>
            <w:bookmarkEnd w:id="1"/>
          </w:p>
        </w:tc>
        <w:tc>
          <w:tcPr>
            <w:tcW w:w="494" w:type="pct"/>
            <w:vAlign w:val="center"/>
          </w:tcPr>
          <w:p w14:paraId="3BECBC2A">
            <w:pPr>
              <w:spacing w:after="62" w:line="360" w:lineRule="auto"/>
              <w:jc w:val="center"/>
              <w:rPr>
                <w:rFonts w:ascii="宋体" w:hAnsi="宋体" w:eastAsia="宋体" w:cs="宋体"/>
                <w:bCs/>
                <w:szCs w:val="21"/>
              </w:rPr>
            </w:pPr>
            <w:r>
              <w:rPr>
                <w:rFonts w:hint="eastAsia" w:ascii="宋体" w:hAnsi="宋体" w:eastAsia="宋体" w:cs="宋体"/>
                <w:bCs/>
                <w:szCs w:val="21"/>
              </w:rPr>
              <w:t>0-</w:t>
            </w:r>
            <w:r>
              <w:rPr>
                <w:rFonts w:ascii="宋体" w:hAnsi="宋体" w:eastAsia="宋体" w:cs="宋体"/>
                <w:bCs/>
                <w:szCs w:val="21"/>
              </w:rPr>
              <w:t>15</w:t>
            </w:r>
            <w:r>
              <w:rPr>
                <w:rFonts w:hint="eastAsia" w:ascii="宋体" w:hAnsi="宋体" w:eastAsia="宋体" w:cs="宋体"/>
                <w:bCs/>
                <w:szCs w:val="21"/>
              </w:rPr>
              <w:t>分</w:t>
            </w:r>
          </w:p>
        </w:tc>
      </w:tr>
      <w:tr w14:paraId="7B8F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5" w:type="pct"/>
            <w:vAlign w:val="center"/>
          </w:tcPr>
          <w:p w14:paraId="6A1684E9">
            <w:pPr>
              <w:spacing w:after="62" w:line="360" w:lineRule="auto"/>
              <w:jc w:val="center"/>
              <w:rPr>
                <w:rFonts w:ascii="宋体" w:hAnsi="宋体" w:eastAsia="宋体" w:cs="宋体"/>
                <w:bCs/>
                <w:szCs w:val="21"/>
              </w:rPr>
            </w:pPr>
            <w:r>
              <w:rPr>
                <w:rFonts w:hint="eastAsia" w:ascii="宋体" w:hAnsi="宋体" w:eastAsia="宋体" w:cs="宋体"/>
                <w:bCs/>
                <w:szCs w:val="21"/>
              </w:rPr>
              <w:t>2</w:t>
            </w:r>
          </w:p>
        </w:tc>
        <w:tc>
          <w:tcPr>
            <w:tcW w:w="602" w:type="pct"/>
            <w:vAlign w:val="center"/>
          </w:tcPr>
          <w:p w14:paraId="276D3B55">
            <w:pPr>
              <w:spacing w:after="62" w:line="360" w:lineRule="auto"/>
              <w:jc w:val="center"/>
              <w:rPr>
                <w:rFonts w:ascii="宋体" w:hAnsi="宋体" w:eastAsia="宋体" w:cs="宋体"/>
                <w:bCs/>
                <w:szCs w:val="21"/>
              </w:rPr>
            </w:pPr>
            <w:r>
              <w:rPr>
                <w:rFonts w:hint="eastAsia" w:ascii="宋体" w:hAnsi="宋体" w:eastAsia="宋体" w:cs="宋体"/>
                <w:bCs/>
                <w:szCs w:val="21"/>
              </w:rPr>
              <w:t>系统现状分析</w:t>
            </w:r>
          </w:p>
        </w:tc>
        <w:tc>
          <w:tcPr>
            <w:tcW w:w="3559" w:type="pct"/>
            <w:vAlign w:val="center"/>
          </w:tcPr>
          <w:p w14:paraId="039C0731">
            <w:pPr>
              <w:spacing w:after="62" w:line="360" w:lineRule="auto"/>
              <w:jc w:val="left"/>
              <w:rPr>
                <w:rFonts w:ascii="宋体" w:hAnsi="宋体" w:eastAsia="宋体" w:cs="宋体"/>
                <w:bCs/>
                <w:szCs w:val="21"/>
              </w:rPr>
            </w:pPr>
            <w:r>
              <w:rPr>
                <w:rFonts w:hint="eastAsia" w:ascii="宋体" w:hAnsi="宋体" w:eastAsia="宋体" w:cs="宋体"/>
                <w:bCs/>
                <w:szCs w:val="21"/>
              </w:rPr>
              <w:t>根据供应商提供的系统现状分析进行综合评审：</w:t>
            </w:r>
          </w:p>
          <w:p w14:paraId="473DBAA6">
            <w:pPr>
              <w:spacing w:after="62" w:line="360" w:lineRule="auto"/>
              <w:jc w:val="left"/>
              <w:rPr>
                <w:rFonts w:ascii="宋体" w:hAnsi="宋体" w:eastAsia="宋体" w:cs="宋体"/>
                <w:bCs/>
                <w:szCs w:val="21"/>
              </w:rPr>
            </w:pPr>
            <w:r>
              <w:rPr>
                <w:rFonts w:hint="eastAsia" w:ascii="宋体" w:hAnsi="宋体" w:eastAsia="宋体" w:cs="宋体"/>
                <w:bCs/>
                <w:szCs w:val="21"/>
              </w:rPr>
              <w:t>（1）对采购人系统现状了解深入，提供分析报告完整、全面，符合项目实际情况的，得1</w:t>
            </w:r>
            <w:r>
              <w:rPr>
                <w:rFonts w:ascii="宋体" w:hAnsi="宋体" w:eastAsia="宋体" w:cs="宋体"/>
                <w:bCs/>
                <w:szCs w:val="21"/>
              </w:rPr>
              <w:t>5</w:t>
            </w:r>
            <w:r>
              <w:rPr>
                <w:rFonts w:hint="eastAsia" w:ascii="宋体" w:hAnsi="宋体" w:eastAsia="宋体" w:cs="宋体"/>
                <w:bCs/>
                <w:szCs w:val="21"/>
              </w:rPr>
              <w:t>分；</w:t>
            </w:r>
          </w:p>
          <w:p w14:paraId="79BE7202">
            <w:pPr>
              <w:spacing w:after="62" w:line="360" w:lineRule="auto"/>
              <w:jc w:val="left"/>
              <w:rPr>
                <w:rFonts w:ascii="宋体" w:hAnsi="宋体" w:eastAsia="宋体" w:cs="宋体"/>
                <w:bCs/>
                <w:szCs w:val="21"/>
              </w:rPr>
            </w:pPr>
            <w:r>
              <w:rPr>
                <w:rFonts w:hint="eastAsia" w:ascii="宋体" w:hAnsi="宋体" w:eastAsia="宋体" w:cs="宋体"/>
                <w:bCs/>
                <w:szCs w:val="21"/>
              </w:rPr>
              <w:t>（2）对采购人系统现状进行了解，提供分析报告较为完整、全面，基本符合项目实际情况的，得</w:t>
            </w:r>
            <w:r>
              <w:rPr>
                <w:rFonts w:ascii="宋体" w:hAnsi="宋体" w:eastAsia="宋体" w:cs="宋体"/>
                <w:bCs/>
                <w:szCs w:val="21"/>
              </w:rPr>
              <w:t>10</w:t>
            </w:r>
            <w:r>
              <w:rPr>
                <w:rFonts w:hint="eastAsia" w:ascii="宋体" w:hAnsi="宋体" w:eastAsia="宋体" w:cs="宋体"/>
                <w:bCs/>
                <w:szCs w:val="21"/>
              </w:rPr>
              <w:t>分；</w:t>
            </w:r>
          </w:p>
          <w:p w14:paraId="7A376B48">
            <w:pPr>
              <w:spacing w:after="62" w:line="360" w:lineRule="auto"/>
              <w:jc w:val="left"/>
              <w:rPr>
                <w:rFonts w:ascii="宋体" w:hAnsi="宋体" w:eastAsia="宋体" w:cs="宋体"/>
                <w:bCs/>
                <w:szCs w:val="21"/>
              </w:rPr>
            </w:pPr>
            <w:r>
              <w:rPr>
                <w:rFonts w:hint="eastAsia" w:ascii="宋体" w:hAnsi="宋体" w:eastAsia="宋体" w:cs="宋体"/>
                <w:bCs/>
                <w:szCs w:val="21"/>
              </w:rPr>
              <w:t>（3）对采购人系统现状了解不足，提供分析报告有待提升完善的，得</w:t>
            </w:r>
            <w:r>
              <w:rPr>
                <w:rFonts w:ascii="宋体" w:hAnsi="宋体" w:eastAsia="宋体" w:cs="宋体"/>
                <w:bCs/>
                <w:szCs w:val="21"/>
              </w:rPr>
              <w:t>5</w:t>
            </w:r>
            <w:r>
              <w:rPr>
                <w:rFonts w:hint="eastAsia" w:ascii="宋体" w:hAnsi="宋体" w:eastAsia="宋体" w:cs="宋体"/>
                <w:bCs/>
                <w:szCs w:val="21"/>
              </w:rPr>
              <w:t>分；</w:t>
            </w:r>
          </w:p>
          <w:p w14:paraId="70C8E722">
            <w:pPr>
              <w:spacing w:after="62" w:line="360" w:lineRule="auto"/>
              <w:jc w:val="left"/>
              <w:rPr>
                <w:rFonts w:ascii="宋体" w:hAnsi="宋体" w:eastAsia="宋体"/>
                <w:szCs w:val="21"/>
              </w:rPr>
            </w:pPr>
            <w:r>
              <w:rPr>
                <w:rFonts w:hint="eastAsia" w:ascii="宋体" w:hAnsi="宋体" w:eastAsia="宋体" w:cs="宋体"/>
                <w:bCs/>
                <w:szCs w:val="21"/>
              </w:rPr>
              <w:t>（4）未提供相关内容的不得分。</w:t>
            </w:r>
          </w:p>
        </w:tc>
        <w:tc>
          <w:tcPr>
            <w:tcW w:w="494" w:type="pct"/>
            <w:vAlign w:val="center"/>
          </w:tcPr>
          <w:p w14:paraId="192EFAFE">
            <w:pPr>
              <w:spacing w:after="62" w:line="360" w:lineRule="auto"/>
              <w:jc w:val="center"/>
              <w:rPr>
                <w:rFonts w:ascii="宋体" w:hAnsi="宋体" w:eastAsia="宋体" w:cs="宋体"/>
                <w:bCs/>
                <w:szCs w:val="21"/>
              </w:rPr>
            </w:pPr>
            <w:r>
              <w:rPr>
                <w:rFonts w:hint="eastAsia" w:ascii="宋体" w:hAnsi="宋体" w:eastAsia="宋体" w:cs="宋体"/>
                <w:bCs/>
                <w:szCs w:val="21"/>
              </w:rPr>
              <w:t>0-</w:t>
            </w:r>
            <w:r>
              <w:rPr>
                <w:rFonts w:ascii="宋体" w:hAnsi="宋体" w:eastAsia="宋体" w:cs="宋体"/>
                <w:bCs/>
                <w:szCs w:val="21"/>
              </w:rPr>
              <w:t>15</w:t>
            </w:r>
            <w:r>
              <w:rPr>
                <w:rFonts w:hint="eastAsia" w:ascii="宋体" w:hAnsi="宋体" w:eastAsia="宋体" w:cs="宋体"/>
                <w:bCs/>
                <w:szCs w:val="21"/>
              </w:rPr>
              <w:t>分</w:t>
            </w:r>
          </w:p>
        </w:tc>
      </w:tr>
      <w:tr w14:paraId="52FA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5" w:type="pct"/>
            <w:vAlign w:val="center"/>
          </w:tcPr>
          <w:p w14:paraId="6B7E4745">
            <w:pPr>
              <w:spacing w:after="62" w:line="360" w:lineRule="auto"/>
              <w:jc w:val="center"/>
              <w:rPr>
                <w:rFonts w:ascii="宋体" w:hAnsi="宋体" w:eastAsia="宋体" w:cs="宋体"/>
                <w:bCs/>
                <w:szCs w:val="21"/>
              </w:rPr>
            </w:pPr>
            <w:r>
              <w:rPr>
                <w:rFonts w:hint="eastAsia" w:ascii="宋体" w:hAnsi="宋体" w:eastAsia="宋体" w:cs="宋体"/>
                <w:bCs/>
                <w:szCs w:val="21"/>
              </w:rPr>
              <w:t>3</w:t>
            </w:r>
          </w:p>
        </w:tc>
        <w:tc>
          <w:tcPr>
            <w:tcW w:w="602" w:type="pct"/>
            <w:vAlign w:val="center"/>
          </w:tcPr>
          <w:p w14:paraId="574D2E07">
            <w:pPr>
              <w:spacing w:after="62" w:line="360" w:lineRule="auto"/>
              <w:jc w:val="center"/>
              <w:rPr>
                <w:rFonts w:ascii="宋体" w:hAnsi="宋体" w:eastAsia="宋体" w:cs="宋体"/>
                <w:bCs/>
                <w:szCs w:val="21"/>
              </w:rPr>
            </w:pPr>
            <w:r>
              <w:rPr>
                <w:rFonts w:hint="eastAsia" w:ascii="宋体" w:hAnsi="宋体" w:eastAsia="宋体" w:cs="宋体"/>
                <w:bCs/>
                <w:szCs w:val="21"/>
              </w:rPr>
              <w:t>客户现场调研</w:t>
            </w:r>
          </w:p>
        </w:tc>
        <w:tc>
          <w:tcPr>
            <w:tcW w:w="3559" w:type="pct"/>
            <w:vAlign w:val="center"/>
          </w:tcPr>
          <w:p w14:paraId="3FE64F8B">
            <w:pPr>
              <w:spacing w:after="62" w:line="360" w:lineRule="auto"/>
              <w:jc w:val="left"/>
              <w:rPr>
                <w:rFonts w:ascii="宋体" w:hAnsi="宋体" w:eastAsia="宋体" w:cs="宋体"/>
                <w:bCs/>
                <w:szCs w:val="21"/>
              </w:rPr>
            </w:pPr>
            <w:r>
              <w:rPr>
                <w:rFonts w:hint="eastAsia" w:ascii="宋体" w:hAnsi="宋体" w:eastAsia="宋体" w:cs="宋体"/>
                <w:bCs/>
                <w:szCs w:val="21"/>
              </w:rPr>
              <w:t>在送达标书前，去客户现场调研的厂商得</w:t>
            </w:r>
            <w:r>
              <w:rPr>
                <w:rFonts w:ascii="宋体" w:hAnsi="宋体" w:eastAsia="宋体" w:cs="宋体"/>
                <w:bCs/>
                <w:szCs w:val="21"/>
              </w:rPr>
              <w:t>10</w:t>
            </w:r>
            <w:r>
              <w:rPr>
                <w:rFonts w:hint="eastAsia" w:ascii="宋体" w:hAnsi="宋体" w:eastAsia="宋体" w:cs="宋体"/>
                <w:bCs/>
                <w:szCs w:val="21"/>
              </w:rPr>
              <w:t>分，其他不得分。</w:t>
            </w:r>
          </w:p>
        </w:tc>
        <w:tc>
          <w:tcPr>
            <w:tcW w:w="494" w:type="pct"/>
            <w:vAlign w:val="center"/>
          </w:tcPr>
          <w:p w14:paraId="020C6C82">
            <w:pPr>
              <w:spacing w:after="62" w:line="360" w:lineRule="auto"/>
              <w:jc w:val="center"/>
              <w:rPr>
                <w:rFonts w:ascii="宋体" w:hAnsi="宋体" w:eastAsia="宋体" w:cs="宋体"/>
                <w:bCs/>
                <w:szCs w:val="21"/>
              </w:rPr>
            </w:pPr>
            <w:r>
              <w:rPr>
                <w:rFonts w:ascii="宋体" w:hAnsi="宋体" w:eastAsia="宋体" w:cs="宋体"/>
                <w:bCs/>
                <w:szCs w:val="21"/>
              </w:rPr>
              <w:t>0-10</w:t>
            </w:r>
            <w:r>
              <w:rPr>
                <w:rFonts w:hint="eastAsia" w:ascii="宋体" w:hAnsi="宋体" w:eastAsia="宋体" w:cs="宋体"/>
                <w:bCs/>
                <w:szCs w:val="21"/>
              </w:rPr>
              <w:t>分</w:t>
            </w:r>
          </w:p>
        </w:tc>
      </w:tr>
      <w:tr w14:paraId="0053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5" w:type="pct"/>
            <w:vAlign w:val="center"/>
          </w:tcPr>
          <w:p w14:paraId="02A76C34">
            <w:pPr>
              <w:spacing w:after="62" w:line="360" w:lineRule="auto"/>
              <w:jc w:val="center"/>
              <w:rPr>
                <w:rFonts w:ascii="宋体" w:hAnsi="宋体" w:eastAsia="宋体" w:cs="宋体"/>
                <w:bCs/>
                <w:szCs w:val="21"/>
              </w:rPr>
            </w:pPr>
            <w:r>
              <w:rPr>
                <w:rFonts w:hint="eastAsia" w:ascii="宋体" w:hAnsi="宋体" w:eastAsia="宋体" w:cs="宋体"/>
                <w:bCs/>
                <w:szCs w:val="21"/>
              </w:rPr>
              <w:t>4</w:t>
            </w:r>
          </w:p>
        </w:tc>
        <w:tc>
          <w:tcPr>
            <w:tcW w:w="602" w:type="pct"/>
            <w:vAlign w:val="center"/>
          </w:tcPr>
          <w:p w14:paraId="1E915E8E">
            <w:pPr>
              <w:spacing w:after="62" w:line="360" w:lineRule="auto"/>
              <w:jc w:val="center"/>
              <w:rPr>
                <w:rFonts w:ascii="宋体" w:hAnsi="宋体" w:eastAsia="宋体" w:cs="宋体"/>
                <w:bCs/>
                <w:szCs w:val="21"/>
              </w:rPr>
            </w:pPr>
            <w:r>
              <w:rPr>
                <w:rFonts w:hint="eastAsia" w:ascii="宋体" w:hAnsi="宋体" w:eastAsia="宋体" w:cs="宋体"/>
                <w:bCs/>
                <w:szCs w:val="21"/>
              </w:rPr>
              <w:t>售后服务能力、方案</w:t>
            </w:r>
          </w:p>
        </w:tc>
        <w:tc>
          <w:tcPr>
            <w:tcW w:w="3559" w:type="pct"/>
            <w:vAlign w:val="center"/>
          </w:tcPr>
          <w:p w14:paraId="35078F67">
            <w:pPr>
              <w:spacing w:after="62" w:line="360" w:lineRule="auto"/>
              <w:rPr>
                <w:rFonts w:ascii="宋体" w:hAnsi="宋体" w:eastAsia="宋体" w:cs="宋体"/>
                <w:bCs/>
                <w:szCs w:val="21"/>
              </w:rPr>
            </w:pPr>
            <w:r>
              <w:rPr>
                <w:rFonts w:hint="eastAsia" w:ascii="宋体" w:hAnsi="宋体" w:eastAsia="宋体" w:cs="宋体"/>
                <w:bCs/>
                <w:szCs w:val="21"/>
              </w:rPr>
              <w:t>1、投标人本地化服务能力，提供的售后服务方案、维护人员和机构等情况的服务优劣程度，以及服务承诺的可行性、完整性以及服务承诺落实的保障措施;后续技术支持和维护能力情况，对服务承诺的保障措施，提供免费上门维护、升级服务，对故障、抢修及时响应和解决问题所采取的措施等评审委员会给予综合评审：</w:t>
            </w:r>
          </w:p>
          <w:p w14:paraId="3681526D">
            <w:pPr>
              <w:spacing w:after="62" w:line="360" w:lineRule="auto"/>
              <w:rPr>
                <w:rFonts w:ascii="宋体" w:hAnsi="宋体" w:eastAsia="宋体" w:cs="宋体"/>
                <w:bCs/>
                <w:szCs w:val="21"/>
              </w:rPr>
            </w:pPr>
            <w:r>
              <w:rPr>
                <w:rFonts w:hint="eastAsia" w:ascii="宋体" w:hAnsi="宋体" w:eastAsia="宋体" w:cs="宋体"/>
                <w:bCs/>
                <w:szCs w:val="21"/>
              </w:rPr>
              <w:t>优秀得</w:t>
            </w:r>
            <w:r>
              <w:rPr>
                <w:rFonts w:ascii="宋体" w:hAnsi="宋体" w:eastAsia="宋体" w:cs="宋体"/>
                <w:bCs/>
                <w:szCs w:val="21"/>
              </w:rPr>
              <w:t>10</w:t>
            </w:r>
            <w:r>
              <w:rPr>
                <w:rFonts w:hint="eastAsia" w:ascii="宋体" w:hAnsi="宋体" w:eastAsia="宋体" w:cs="宋体"/>
                <w:bCs/>
                <w:szCs w:val="21"/>
              </w:rPr>
              <w:t>分、良好</w:t>
            </w:r>
            <w:r>
              <w:rPr>
                <w:rFonts w:ascii="宋体" w:hAnsi="宋体" w:eastAsia="宋体" w:cs="宋体"/>
                <w:bCs/>
                <w:szCs w:val="21"/>
              </w:rPr>
              <w:t>7</w:t>
            </w:r>
            <w:r>
              <w:rPr>
                <w:rFonts w:hint="eastAsia" w:ascii="宋体" w:hAnsi="宋体" w:eastAsia="宋体" w:cs="宋体"/>
                <w:bCs/>
                <w:szCs w:val="21"/>
              </w:rPr>
              <w:t>分、一般4分，无相关内容得0分</w:t>
            </w:r>
          </w:p>
        </w:tc>
        <w:tc>
          <w:tcPr>
            <w:tcW w:w="494" w:type="pct"/>
            <w:vAlign w:val="center"/>
          </w:tcPr>
          <w:p w14:paraId="51643F55">
            <w:pPr>
              <w:spacing w:after="62" w:line="360" w:lineRule="auto"/>
              <w:jc w:val="center"/>
              <w:rPr>
                <w:rFonts w:ascii="宋体" w:hAnsi="宋体" w:eastAsia="宋体" w:cs="宋体"/>
                <w:bCs/>
                <w:szCs w:val="21"/>
              </w:rPr>
            </w:pPr>
            <w:r>
              <w:rPr>
                <w:rFonts w:hint="eastAsia" w:ascii="宋体" w:hAnsi="宋体" w:eastAsia="宋体" w:cs="宋体"/>
                <w:bCs/>
                <w:szCs w:val="21"/>
              </w:rPr>
              <w:t>0-</w:t>
            </w:r>
            <w:r>
              <w:rPr>
                <w:rFonts w:ascii="宋体" w:hAnsi="宋体" w:eastAsia="宋体" w:cs="宋体"/>
                <w:bCs/>
                <w:szCs w:val="21"/>
              </w:rPr>
              <w:t>10</w:t>
            </w:r>
            <w:r>
              <w:rPr>
                <w:rFonts w:hint="eastAsia" w:ascii="宋体" w:hAnsi="宋体" w:eastAsia="宋体" w:cs="宋体"/>
                <w:bCs/>
                <w:szCs w:val="21"/>
              </w:rPr>
              <w:t>分</w:t>
            </w:r>
          </w:p>
        </w:tc>
      </w:tr>
      <w:tr w14:paraId="00B0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5" w:type="pct"/>
            <w:vAlign w:val="center"/>
          </w:tcPr>
          <w:p w14:paraId="1FB5BF58">
            <w:pPr>
              <w:spacing w:after="62" w:line="360" w:lineRule="auto"/>
              <w:jc w:val="center"/>
              <w:rPr>
                <w:rFonts w:ascii="宋体" w:hAnsi="宋体" w:eastAsia="宋体" w:cs="宋体"/>
                <w:bCs/>
                <w:szCs w:val="21"/>
              </w:rPr>
            </w:pPr>
            <w:r>
              <w:rPr>
                <w:rFonts w:hint="eastAsia" w:ascii="宋体" w:hAnsi="宋体" w:eastAsia="宋体" w:cs="宋体"/>
                <w:bCs/>
                <w:szCs w:val="21"/>
              </w:rPr>
              <w:t>5</w:t>
            </w:r>
          </w:p>
        </w:tc>
        <w:tc>
          <w:tcPr>
            <w:tcW w:w="602" w:type="pct"/>
            <w:vAlign w:val="center"/>
          </w:tcPr>
          <w:p w14:paraId="1A3E9A6F">
            <w:pPr>
              <w:spacing w:after="62" w:line="360" w:lineRule="auto"/>
              <w:jc w:val="center"/>
              <w:rPr>
                <w:rFonts w:ascii="宋体" w:hAnsi="宋体" w:eastAsia="宋体" w:cs="宋体"/>
                <w:bCs/>
                <w:szCs w:val="21"/>
              </w:rPr>
            </w:pPr>
            <w:r>
              <w:rPr>
                <w:rFonts w:hint="eastAsia" w:ascii="宋体" w:hAnsi="宋体" w:eastAsia="宋体" w:cs="宋体"/>
                <w:bCs/>
                <w:szCs w:val="21"/>
              </w:rPr>
              <w:t>培训方案</w:t>
            </w:r>
          </w:p>
        </w:tc>
        <w:tc>
          <w:tcPr>
            <w:tcW w:w="3559" w:type="pct"/>
            <w:vAlign w:val="center"/>
          </w:tcPr>
          <w:p w14:paraId="0094979D">
            <w:pPr>
              <w:spacing w:after="62" w:line="360" w:lineRule="auto"/>
              <w:rPr>
                <w:rFonts w:ascii="宋体" w:hAnsi="宋体" w:eastAsia="宋体" w:cs="宋体"/>
                <w:bCs/>
                <w:szCs w:val="21"/>
              </w:rPr>
            </w:pPr>
            <w:r>
              <w:rPr>
                <w:rFonts w:hint="eastAsia" w:ascii="宋体" w:hAnsi="宋体" w:eastAsia="宋体" w:cs="宋体"/>
                <w:bCs/>
                <w:szCs w:val="21"/>
              </w:rPr>
              <w:t>提供技术培训，培训内容充实、形式多样、安排合理。优秀得</w:t>
            </w:r>
            <w:r>
              <w:rPr>
                <w:rFonts w:ascii="宋体" w:hAnsi="宋体" w:eastAsia="宋体" w:cs="宋体"/>
                <w:bCs/>
                <w:szCs w:val="21"/>
              </w:rPr>
              <w:t>8</w:t>
            </w:r>
            <w:r>
              <w:rPr>
                <w:rFonts w:hint="eastAsia" w:ascii="宋体" w:hAnsi="宋体" w:eastAsia="宋体" w:cs="宋体"/>
                <w:bCs/>
                <w:szCs w:val="21"/>
              </w:rPr>
              <w:t xml:space="preserve">分，良好得 </w:t>
            </w:r>
            <w:r>
              <w:rPr>
                <w:rFonts w:ascii="宋体" w:hAnsi="宋体" w:eastAsia="宋体" w:cs="宋体"/>
                <w:bCs/>
                <w:szCs w:val="21"/>
              </w:rPr>
              <w:t>5</w:t>
            </w:r>
            <w:r>
              <w:rPr>
                <w:rFonts w:hint="eastAsia" w:ascii="宋体" w:hAnsi="宋体" w:eastAsia="宋体" w:cs="宋体"/>
                <w:bCs/>
                <w:szCs w:val="21"/>
              </w:rPr>
              <w:t xml:space="preserve">分，一般得 </w:t>
            </w:r>
            <w:r>
              <w:rPr>
                <w:rFonts w:ascii="宋体" w:hAnsi="宋体" w:eastAsia="宋体" w:cs="宋体"/>
                <w:bCs/>
                <w:szCs w:val="21"/>
              </w:rPr>
              <w:t>3</w:t>
            </w:r>
            <w:r>
              <w:rPr>
                <w:rFonts w:hint="eastAsia" w:ascii="宋体" w:hAnsi="宋体" w:eastAsia="宋体" w:cs="宋体"/>
                <w:bCs/>
                <w:szCs w:val="21"/>
              </w:rPr>
              <w:t>分，未提供不得分。</w:t>
            </w:r>
          </w:p>
        </w:tc>
        <w:tc>
          <w:tcPr>
            <w:tcW w:w="494" w:type="pct"/>
            <w:vAlign w:val="center"/>
          </w:tcPr>
          <w:p w14:paraId="05E3ECAD">
            <w:pPr>
              <w:spacing w:after="62" w:line="360" w:lineRule="auto"/>
              <w:jc w:val="center"/>
              <w:rPr>
                <w:rFonts w:ascii="宋体" w:hAnsi="宋体" w:eastAsia="宋体" w:cs="宋体"/>
                <w:bCs/>
                <w:szCs w:val="21"/>
              </w:rPr>
            </w:pPr>
            <w:r>
              <w:rPr>
                <w:rFonts w:hint="eastAsia" w:ascii="宋体" w:hAnsi="宋体" w:eastAsia="宋体" w:cs="宋体"/>
                <w:bCs/>
                <w:szCs w:val="21"/>
              </w:rPr>
              <w:t>0-</w:t>
            </w:r>
            <w:r>
              <w:rPr>
                <w:rFonts w:ascii="宋体" w:hAnsi="宋体" w:eastAsia="宋体" w:cs="宋体"/>
                <w:bCs/>
                <w:szCs w:val="21"/>
              </w:rPr>
              <w:t>8</w:t>
            </w:r>
            <w:r>
              <w:rPr>
                <w:rFonts w:hint="eastAsia" w:ascii="宋体" w:hAnsi="宋体" w:eastAsia="宋体" w:cs="宋体"/>
                <w:bCs/>
                <w:szCs w:val="21"/>
              </w:rPr>
              <w:t>分</w:t>
            </w:r>
          </w:p>
        </w:tc>
      </w:tr>
      <w:tr w14:paraId="626F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345" w:type="pct"/>
            <w:vAlign w:val="center"/>
          </w:tcPr>
          <w:p w14:paraId="0C1C41BF">
            <w:pPr>
              <w:spacing w:after="62" w:line="360" w:lineRule="auto"/>
              <w:rPr>
                <w:rFonts w:hint="eastAsia" w:ascii="宋体" w:hAnsi="宋体" w:eastAsia="宋体" w:cs="宋体"/>
                <w:bCs/>
                <w:szCs w:val="21"/>
              </w:rPr>
            </w:pPr>
            <w:r>
              <w:rPr>
                <w:rFonts w:hint="eastAsia" w:ascii="宋体" w:hAnsi="宋体" w:eastAsia="宋体" w:cs="宋体"/>
                <w:bCs/>
                <w:szCs w:val="21"/>
              </w:rPr>
              <w:t>6</w:t>
            </w:r>
          </w:p>
        </w:tc>
        <w:tc>
          <w:tcPr>
            <w:tcW w:w="602" w:type="pct"/>
            <w:vAlign w:val="center"/>
          </w:tcPr>
          <w:p w14:paraId="1924401C">
            <w:pPr>
              <w:spacing w:after="62" w:line="360" w:lineRule="auto"/>
              <w:rPr>
                <w:rFonts w:hint="eastAsia" w:ascii="宋体" w:hAnsi="宋体" w:eastAsia="宋体" w:cs="宋体"/>
                <w:bCs/>
                <w:szCs w:val="21"/>
              </w:rPr>
            </w:pPr>
            <w:r>
              <w:rPr>
                <w:rFonts w:hint="eastAsia" w:ascii="宋体" w:hAnsi="宋体" w:eastAsia="宋体" w:cs="宋体"/>
                <w:bCs/>
                <w:szCs w:val="21"/>
              </w:rPr>
              <w:t>投标人实力</w:t>
            </w:r>
          </w:p>
        </w:tc>
        <w:tc>
          <w:tcPr>
            <w:tcW w:w="3559" w:type="pct"/>
            <w:vAlign w:val="center"/>
          </w:tcPr>
          <w:p w14:paraId="32B782C6">
            <w:pPr>
              <w:spacing w:after="62" w:line="360" w:lineRule="auto"/>
              <w:rPr>
                <w:rFonts w:hint="eastAsia" w:ascii="宋体" w:hAnsi="宋体" w:eastAsia="宋体" w:cs="宋体"/>
                <w:bCs/>
                <w:szCs w:val="21"/>
              </w:rPr>
            </w:pPr>
            <w:r>
              <w:rPr>
                <w:rFonts w:hint="eastAsia" w:ascii="宋体" w:hAnsi="宋体" w:eastAsia="宋体" w:cs="宋体"/>
                <w:bCs/>
                <w:szCs w:val="21"/>
              </w:rPr>
              <w:t>1、投标人具有中国网络安全审查技术与认证中心CCRC信息安全服务资质认证二级及以上证书的得2分，，未提供证书的不得分；</w:t>
            </w:r>
          </w:p>
          <w:p w14:paraId="0843B40B">
            <w:pPr>
              <w:spacing w:after="62" w:line="360" w:lineRule="auto"/>
              <w:rPr>
                <w:rFonts w:hint="eastAsia" w:ascii="宋体" w:hAnsi="宋体" w:eastAsia="宋体" w:cs="宋体"/>
                <w:bCs/>
                <w:szCs w:val="21"/>
              </w:rPr>
            </w:pPr>
            <w:r>
              <w:rPr>
                <w:rFonts w:hint="eastAsia" w:ascii="宋体" w:hAnsi="宋体" w:eastAsia="宋体" w:cs="宋体"/>
                <w:bCs/>
                <w:szCs w:val="21"/>
              </w:rPr>
              <w:t>2、投标人具有ITSS信息技术服务运行维护标准符合性证书二级及以上得2分，未提供者不得分。</w:t>
            </w:r>
          </w:p>
          <w:p w14:paraId="2F8B7EB5">
            <w:pPr>
              <w:spacing w:after="62" w:line="360" w:lineRule="auto"/>
              <w:rPr>
                <w:rFonts w:hint="eastAsia" w:ascii="宋体" w:hAnsi="宋体" w:eastAsia="宋体" w:cs="宋体"/>
                <w:bCs/>
                <w:szCs w:val="21"/>
              </w:rPr>
            </w:pPr>
            <w:r>
              <w:rPr>
                <w:rFonts w:hint="eastAsia" w:ascii="宋体" w:hAnsi="宋体" w:eastAsia="宋体" w:cs="宋体"/>
                <w:bCs/>
                <w:szCs w:val="21"/>
              </w:rPr>
              <w:t>3、投标人具有信息系统建设和服务能力等级证书，得2分；</w:t>
            </w:r>
          </w:p>
          <w:p w14:paraId="533AD45E">
            <w:pPr>
              <w:spacing w:after="62" w:line="360" w:lineRule="auto"/>
              <w:rPr>
                <w:rFonts w:hint="eastAsia" w:ascii="宋体" w:hAnsi="宋体" w:eastAsia="宋体" w:cs="宋体"/>
                <w:bCs/>
                <w:szCs w:val="21"/>
              </w:rPr>
            </w:pPr>
            <w:r>
              <w:rPr>
                <w:rFonts w:hint="eastAsia" w:ascii="宋体" w:hAnsi="宋体" w:eastAsia="宋体" w:cs="宋体"/>
                <w:bCs/>
                <w:szCs w:val="21"/>
              </w:rPr>
              <w:t>注：须提供有效期内证书扫描件。</w:t>
            </w:r>
          </w:p>
        </w:tc>
        <w:tc>
          <w:tcPr>
            <w:tcW w:w="494" w:type="pct"/>
            <w:vAlign w:val="center"/>
          </w:tcPr>
          <w:p w14:paraId="42347603">
            <w:pPr>
              <w:spacing w:after="62" w:line="360" w:lineRule="auto"/>
              <w:rPr>
                <w:rFonts w:hint="eastAsia" w:ascii="宋体" w:hAnsi="宋体" w:eastAsia="宋体" w:cs="宋体"/>
                <w:bCs/>
                <w:szCs w:val="21"/>
              </w:rPr>
            </w:pPr>
            <w:r>
              <w:rPr>
                <w:rFonts w:hint="eastAsia" w:ascii="宋体" w:hAnsi="宋体" w:eastAsia="宋体" w:cs="宋体"/>
                <w:bCs/>
                <w:szCs w:val="21"/>
              </w:rPr>
              <w:t>0-6分</w:t>
            </w:r>
          </w:p>
        </w:tc>
      </w:tr>
      <w:tr w14:paraId="32C4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345" w:type="pct"/>
            <w:vAlign w:val="center"/>
          </w:tcPr>
          <w:p w14:paraId="7B3B59BB">
            <w:pPr>
              <w:spacing w:after="62" w:line="360" w:lineRule="auto"/>
              <w:rPr>
                <w:rFonts w:hint="eastAsia" w:ascii="宋体" w:hAnsi="宋体" w:eastAsia="宋体" w:cs="宋体"/>
                <w:bCs/>
                <w:szCs w:val="21"/>
              </w:rPr>
            </w:pPr>
            <w:r>
              <w:rPr>
                <w:rFonts w:hint="eastAsia" w:ascii="宋体" w:hAnsi="宋体" w:eastAsia="宋体" w:cs="宋体"/>
                <w:bCs/>
                <w:szCs w:val="21"/>
              </w:rPr>
              <w:t>7</w:t>
            </w:r>
          </w:p>
        </w:tc>
        <w:tc>
          <w:tcPr>
            <w:tcW w:w="602" w:type="pct"/>
            <w:vAlign w:val="center"/>
          </w:tcPr>
          <w:p w14:paraId="590C1596">
            <w:pPr>
              <w:spacing w:after="62" w:line="360" w:lineRule="auto"/>
              <w:rPr>
                <w:rFonts w:hint="eastAsia" w:ascii="宋体" w:hAnsi="宋体" w:eastAsia="宋体" w:cs="宋体"/>
                <w:bCs/>
                <w:szCs w:val="21"/>
              </w:rPr>
            </w:pPr>
            <w:r>
              <w:rPr>
                <w:rFonts w:hint="eastAsia" w:ascii="宋体" w:hAnsi="宋体" w:eastAsia="宋体" w:cs="宋体"/>
                <w:bCs/>
                <w:szCs w:val="21"/>
              </w:rPr>
              <w:t>投标人售后服务团队</w:t>
            </w:r>
          </w:p>
        </w:tc>
        <w:tc>
          <w:tcPr>
            <w:tcW w:w="3559" w:type="pct"/>
            <w:vAlign w:val="center"/>
          </w:tcPr>
          <w:p w14:paraId="1283E1F9">
            <w:pPr>
              <w:spacing w:after="62" w:line="360" w:lineRule="auto"/>
              <w:rPr>
                <w:rFonts w:hint="eastAsia" w:ascii="宋体" w:hAnsi="宋体" w:eastAsia="宋体" w:cs="宋体"/>
                <w:bCs/>
                <w:szCs w:val="21"/>
              </w:rPr>
            </w:pPr>
            <w:r>
              <w:rPr>
                <w:rFonts w:hint="eastAsia" w:ascii="宋体" w:hAnsi="宋体" w:eastAsia="宋体" w:cs="宋体"/>
                <w:bCs/>
                <w:szCs w:val="21"/>
              </w:rPr>
              <w:t>售后服务团队其他人员配备，满分8分：</w:t>
            </w:r>
          </w:p>
          <w:p w14:paraId="106E3C34">
            <w:pPr>
              <w:spacing w:after="62" w:line="360" w:lineRule="auto"/>
              <w:rPr>
                <w:rFonts w:hint="eastAsia" w:ascii="宋体" w:hAnsi="宋体" w:eastAsia="宋体" w:cs="宋体"/>
                <w:bCs/>
                <w:szCs w:val="21"/>
              </w:rPr>
            </w:pPr>
            <w:r>
              <w:rPr>
                <w:rFonts w:hint="eastAsia" w:ascii="宋体" w:hAnsi="宋体" w:eastAsia="宋体" w:cs="宋体"/>
                <w:bCs/>
                <w:szCs w:val="21"/>
              </w:rPr>
              <w:t>1）具有信息系统项目管理师证书的，得2 分</w:t>
            </w:r>
          </w:p>
          <w:p w14:paraId="31E5DB89">
            <w:pPr>
              <w:spacing w:after="62" w:line="360" w:lineRule="auto"/>
              <w:rPr>
                <w:rFonts w:hint="eastAsia" w:ascii="宋体" w:hAnsi="宋体" w:eastAsia="宋体" w:cs="宋体"/>
                <w:bCs/>
                <w:szCs w:val="21"/>
              </w:rPr>
            </w:pPr>
            <w:r>
              <w:rPr>
                <w:rFonts w:hint="eastAsia" w:ascii="宋体" w:hAnsi="宋体" w:eastAsia="宋体" w:cs="宋体"/>
                <w:bCs/>
                <w:szCs w:val="21"/>
              </w:rPr>
              <w:t>具有系统集成项目管理工程师证书的，得2分，</w:t>
            </w:r>
          </w:p>
          <w:p w14:paraId="0E131791">
            <w:pPr>
              <w:spacing w:after="62" w:line="360" w:lineRule="auto"/>
              <w:rPr>
                <w:rFonts w:hint="eastAsia" w:ascii="宋体" w:hAnsi="宋体" w:eastAsia="宋体" w:cs="宋体"/>
                <w:bCs/>
                <w:szCs w:val="21"/>
              </w:rPr>
            </w:pPr>
            <w:r>
              <w:rPr>
                <w:rFonts w:hint="eastAsia" w:ascii="宋体" w:hAnsi="宋体" w:eastAsia="宋体" w:cs="宋体"/>
                <w:bCs/>
                <w:szCs w:val="21"/>
              </w:rPr>
              <w:t>3）具有数据中心（机房）运维管理工程师证书的，得2分，</w:t>
            </w:r>
          </w:p>
        </w:tc>
        <w:tc>
          <w:tcPr>
            <w:tcW w:w="494" w:type="pct"/>
            <w:vAlign w:val="center"/>
          </w:tcPr>
          <w:p w14:paraId="429FA1E2">
            <w:pPr>
              <w:spacing w:after="62" w:line="360" w:lineRule="auto"/>
              <w:rPr>
                <w:rFonts w:hint="eastAsia" w:ascii="宋体" w:hAnsi="宋体" w:eastAsia="宋体" w:cs="宋体"/>
                <w:bCs/>
                <w:szCs w:val="21"/>
              </w:rPr>
            </w:pPr>
            <w:r>
              <w:rPr>
                <w:rFonts w:hint="eastAsia" w:ascii="宋体" w:hAnsi="宋体" w:eastAsia="宋体" w:cs="宋体"/>
                <w:bCs/>
                <w:szCs w:val="21"/>
              </w:rPr>
              <w:t>0-6分</w:t>
            </w:r>
          </w:p>
        </w:tc>
      </w:tr>
      <w:tr w14:paraId="7AFB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707" w:type="dxa"/>
            <w:gridSpan w:val="2"/>
            <w:vAlign w:val="center"/>
          </w:tcPr>
          <w:p w14:paraId="56D9585A">
            <w:pPr>
              <w:spacing w:after="62" w:line="360" w:lineRule="auto"/>
              <w:rPr>
                <w:rFonts w:hint="eastAsia" w:ascii="宋体" w:hAnsi="宋体" w:eastAsia="宋体" w:cs="宋体"/>
                <w:bCs/>
                <w:szCs w:val="21"/>
              </w:rPr>
            </w:pPr>
            <w:r>
              <w:rPr>
                <w:rFonts w:hint="eastAsia" w:ascii="宋体" w:hAnsi="宋体" w:eastAsia="宋体" w:cs="宋体"/>
                <w:bCs/>
                <w:szCs w:val="21"/>
              </w:rPr>
              <w:t>价格分</w:t>
            </w:r>
          </w:p>
          <w:p w14:paraId="36C2DF6E">
            <w:pPr>
              <w:spacing w:after="62" w:line="360" w:lineRule="auto"/>
              <w:rPr>
                <w:rFonts w:hint="eastAsia" w:ascii="宋体" w:hAnsi="宋体" w:eastAsia="宋体" w:cs="宋体"/>
                <w:bCs/>
                <w:szCs w:val="21"/>
              </w:rPr>
            </w:pPr>
            <w:r>
              <w:rPr>
                <w:rFonts w:hint="eastAsia" w:ascii="宋体" w:hAnsi="宋体" w:eastAsia="宋体" w:cs="宋体"/>
                <w:bCs/>
                <w:szCs w:val="21"/>
              </w:rPr>
              <w:t xml:space="preserve">（ </w:t>
            </w:r>
            <w:r>
              <w:rPr>
                <w:rFonts w:hint="eastAsia" w:ascii="宋体" w:hAnsi="宋体" w:eastAsia="宋体" w:cs="宋体"/>
                <w:bCs/>
                <w:szCs w:val="21"/>
                <w:lang w:val="en-US" w:eastAsia="zh-CN"/>
              </w:rPr>
              <w:t>30</w:t>
            </w:r>
            <w:r>
              <w:rPr>
                <w:rFonts w:hint="eastAsia" w:ascii="宋体" w:hAnsi="宋体" w:eastAsia="宋体" w:cs="宋体"/>
                <w:bCs/>
                <w:szCs w:val="21"/>
              </w:rPr>
              <w:t xml:space="preserve">  分）</w:t>
            </w:r>
          </w:p>
        </w:tc>
        <w:tc>
          <w:tcPr>
            <w:tcW w:w="6414" w:type="dxa"/>
            <w:vAlign w:val="center"/>
          </w:tcPr>
          <w:p w14:paraId="18D1F209">
            <w:pPr>
              <w:spacing w:after="62" w:line="360" w:lineRule="auto"/>
              <w:rPr>
                <w:rFonts w:hint="eastAsia" w:ascii="宋体" w:hAnsi="宋体" w:eastAsia="宋体" w:cs="宋体"/>
                <w:bCs/>
                <w:szCs w:val="21"/>
              </w:rPr>
            </w:pPr>
            <w:r>
              <w:rPr>
                <w:rFonts w:hint="eastAsia" w:ascii="宋体" w:hAnsi="宋体" w:eastAsia="宋体" w:cs="宋体"/>
                <w:bCs/>
                <w:szCs w:val="21"/>
              </w:rPr>
              <w:t xml:space="preserve">价格分统一采用低价优先法，即满足招标文件要求且投标价格最低的投标报价为评标基准价，其价格分为满分 </w:t>
            </w:r>
            <w:r>
              <w:rPr>
                <w:rFonts w:hint="eastAsia" w:ascii="宋体" w:hAnsi="宋体" w:eastAsia="宋体" w:cs="宋体"/>
                <w:bCs/>
                <w:szCs w:val="21"/>
                <w:lang w:val="en-US" w:eastAsia="zh-CN"/>
              </w:rPr>
              <w:t>30</w:t>
            </w:r>
            <w:r>
              <w:rPr>
                <w:rFonts w:hint="eastAsia" w:ascii="宋体" w:hAnsi="宋体" w:eastAsia="宋体" w:cs="宋体"/>
                <w:bCs/>
                <w:szCs w:val="21"/>
              </w:rPr>
              <w:t>分。其他投标人的价格分统一按照下列公式计算：</w:t>
            </w:r>
          </w:p>
          <w:p w14:paraId="20B3F585">
            <w:pPr>
              <w:spacing w:after="62" w:line="360" w:lineRule="auto"/>
              <w:rPr>
                <w:rFonts w:hint="eastAsia" w:ascii="宋体" w:hAnsi="宋体" w:eastAsia="宋体" w:cs="宋体"/>
                <w:bCs/>
                <w:szCs w:val="21"/>
              </w:rPr>
            </w:pPr>
            <w:r>
              <w:rPr>
                <w:rFonts w:hint="eastAsia" w:ascii="宋体" w:hAnsi="宋体" w:eastAsia="宋体" w:cs="宋体"/>
                <w:bCs/>
                <w:szCs w:val="21"/>
              </w:rPr>
              <w:t xml:space="preserve">投标报价得分＝（评标基准价/投标报价）× </w:t>
            </w:r>
            <w:r>
              <w:rPr>
                <w:rFonts w:hint="eastAsia" w:ascii="宋体" w:hAnsi="宋体" w:eastAsia="宋体" w:cs="宋体"/>
                <w:bCs/>
                <w:szCs w:val="21"/>
                <w:lang w:val="en-US" w:eastAsia="zh-CN"/>
              </w:rPr>
              <w:t>30</w:t>
            </w:r>
            <w:r>
              <w:rPr>
                <w:rFonts w:hint="eastAsia" w:ascii="宋体" w:hAnsi="宋体" w:eastAsia="宋体" w:cs="宋体"/>
                <w:bCs/>
                <w:szCs w:val="21"/>
              </w:rPr>
              <w:t>％×100</w:t>
            </w:r>
            <w:bookmarkStart w:id="2" w:name="_GoBack"/>
            <w:bookmarkEnd w:id="2"/>
          </w:p>
        </w:tc>
        <w:tc>
          <w:tcPr>
            <w:tcW w:w="494" w:type="pct"/>
            <w:vAlign w:val="center"/>
          </w:tcPr>
          <w:p w14:paraId="5F244D4F">
            <w:pPr>
              <w:spacing w:after="62" w:line="360" w:lineRule="auto"/>
              <w:rPr>
                <w:rFonts w:hint="eastAsia" w:ascii="宋体" w:hAnsi="宋体" w:eastAsia="宋体" w:cs="宋体"/>
                <w:bCs/>
                <w:szCs w:val="21"/>
              </w:rPr>
            </w:pPr>
            <w:r>
              <w:rPr>
                <w:rFonts w:hint="eastAsia" w:ascii="宋体" w:hAnsi="宋体" w:eastAsia="宋体" w:cs="宋体"/>
                <w:bCs/>
                <w:szCs w:val="21"/>
              </w:rPr>
              <w:t>0-30分</w:t>
            </w:r>
          </w:p>
        </w:tc>
      </w:tr>
    </w:tbl>
    <w:p w14:paraId="09B41B65">
      <w:pPr>
        <w:tabs>
          <w:tab w:val="left" w:pos="420"/>
        </w:tabs>
        <w:spacing w:after="62"/>
        <w:rPr>
          <w:rFonts w:ascii="宋体" w:hAnsi="宋体" w:eastAsia="宋体"/>
          <w:szCs w:val="21"/>
        </w:rPr>
      </w:pPr>
    </w:p>
    <w:p w14:paraId="2DB420B0">
      <w:pPr>
        <w:spacing w:after="62"/>
      </w:pPr>
    </w:p>
    <w:p w14:paraId="72B92DD5">
      <w:pPr>
        <w:spacing w:after="62" w:line="360" w:lineRule="auto"/>
        <w:ind w:firstLine="422" w:firstLineChars="200"/>
        <w:jc w:val="left"/>
        <w:outlineLvl w:val="3"/>
        <w:rPr>
          <w:rFonts w:hint="default" w:ascii="宋体" w:hAnsi="宋体" w:eastAsia="宋体" w:cs="宋体"/>
          <w:b/>
          <w:bCs/>
          <w:color w:val="000000"/>
          <w:kern w:val="0"/>
          <w:szCs w:val="21"/>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典雅体简">
    <w:panose1 w:val="00020600040101010101"/>
    <w:charset w:val="86"/>
    <w:family w:val="auto"/>
    <w:pitch w:val="default"/>
    <w:sig w:usb0="A00002BF" w:usb1="18EF7CFA" w:usb2="00000016"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3"/>
      </w:rPr>
      <w:id w:val="1048733279"/>
      <w:docPartObj>
        <w:docPartGallery w:val="autotext"/>
      </w:docPartObj>
    </w:sdtPr>
    <w:sdtEndPr>
      <w:rPr>
        <w:rStyle w:val="33"/>
      </w:rPr>
    </w:sdtEndPr>
    <w:sdtContent>
      <w:p w14:paraId="6D36569E">
        <w:pPr>
          <w:pStyle w:val="20"/>
          <w:framePr w:wrap="auto" w:vAnchor="text" w:hAnchor="margin" w:xAlign="right" w:y="1"/>
          <w:spacing w:after="48"/>
          <w:rPr>
            <w:rStyle w:val="33"/>
          </w:rPr>
        </w:pPr>
        <w:r>
          <w:rPr>
            <w:rStyle w:val="33"/>
          </w:rPr>
          <w:fldChar w:fldCharType="begin"/>
        </w:r>
        <w:r>
          <w:rPr>
            <w:rStyle w:val="33"/>
          </w:rPr>
          <w:instrText xml:space="preserve"> PAGE </w:instrText>
        </w:r>
        <w:r>
          <w:rPr>
            <w:rStyle w:val="33"/>
          </w:rPr>
          <w:fldChar w:fldCharType="separate"/>
        </w:r>
        <w:r>
          <w:rPr>
            <w:rStyle w:val="33"/>
          </w:rPr>
          <w:t>4</w:t>
        </w:r>
        <w:r>
          <w:rPr>
            <w:rStyle w:val="33"/>
          </w:rPr>
          <w:fldChar w:fldCharType="end"/>
        </w:r>
      </w:p>
    </w:sdtContent>
  </w:sdt>
  <w:p w14:paraId="139599B4">
    <w:pPr>
      <w:pStyle w:val="20"/>
      <w:spacing w:after="4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3"/>
      </w:rPr>
      <w:id w:val="-303628633"/>
      <w:docPartObj>
        <w:docPartGallery w:val="autotext"/>
      </w:docPartObj>
    </w:sdtPr>
    <w:sdtEndPr>
      <w:rPr>
        <w:rStyle w:val="33"/>
      </w:rPr>
    </w:sdtEndPr>
    <w:sdtContent>
      <w:p w14:paraId="797C84D0">
        <w:pPr>
          <w:pStyle w:val="20"/>
          <w:framePr w:wrap="auto" w:vAnchor="text" w:hAnchor="margin" w:xAlign="right" w:y="1"/>
          <w:spacing w:after="48"/>
          <w:rPr>
            <w:rStyle w:val="33"/>
          </w:rPr>
        </w:pPr>
        <w:r>
          <w:rPr>
            <w:rStyle w:val="33"/>
          </w:rPr>
          <w:fldChar w:fldCharType="begin"/>
        </w:r>
        <w:r>
          <w:rPr>
            <w:rStyle w:val="33"/>
          </w:rPr>
          <w:instrText xml:space="preserve"> PAGE </w:instrText>
        </w:r>
        <w:r>
          <w:rPr>
            <w:rStyle w:val="33"/>
          </w:rPr>
          <w:fldChar w:fldCharType="end"/>
        </w:r>
      </w:p>
    </w:sdtContent>
  </w:sdt>
  <w:p w14:paraId="440E73C7">
    <w:pPr>
      <w:pStyle w:val="20"/>
      <w:spacing w:after="4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1B37">
    <w:pPr>
      <w:pStyle w:val="20"/>
      <w:spacing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EF9C">
    <w:pPr>
      <w:pStyle w:val="21"/>
      <w:spacing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AEAF">
    <w:pPr>
      <w:pStyle w:val="21"/>
      <w:spacing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A9AD">
    <w:pPr>
      <w:pStyle w:val="21"/>
      <w:spacing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855E8"/>
    <w:multiLevelType w:val="multilevel"/>
    <w:tmpl w:val="A20855E8"/>
    <w:lvl w:ilvl="0" w:tentative="0">
      <w:start w:val="8"/>
      <w:numFmt w:val="chineseCounting"/>
      <w:suff w:val="nothing"/>
      <w:lvlText w:val="%1、"/>
      <w:lvlJc w:val="center"/>
      <w:pPr>
        <w:tabs>
          <w:tab w:val="left" w:pos="420"/>
        </w:tabs>
        <w:ind w:left="0" w:firstLine="0"/>
      </w:pPr>
      <w:rPr>
        <w:rFonts w:hint="eastAsia" w:ascii="宋体" w:hAnsi="宋体" w:eastAsia="宋体"/>
        <w:sz w:val="36"/>
      </w:rPr>
    </w:lvl>
    <w:lvl w:ilvl="1" w:tentative="0">
      <w:start w:val="1"/>
      <w:numFmt w:val="decimal"/>
      <w:isLgl/>
      <w:suff w:val="space"/>
      <w:lvlText w:val="%1.%2."/>
      <w:lvlJc w:val="left"/>
      <w:pPr>
        <w:tabs>
          <w:tab w:val="left" w:pos="420"/>
        </w:tabs>
        <w:ind w:left="0" w:firstLine="0"/>
      </w:pPr>
      <w:rPr>
        <w:rFonts w:hint="eastAsia" w:ascii="宋体" w:hAnsi="宋体"/>
        <w:sz w:val="32"/>
      </w:rPr>
    </w:lvl>
    <w:lvl w:ilvl="2" w:tentative="0">
      <w:start w:val="1"/>
      <w:numFmt w:val="decimal"/>
      <w:isLgl/>
      <w:suff w:val="space"/>
      <w:lvlText w:val="%1.%2.%3."/>
      <w:lvlJc w:val="left"/>
      <w:pPr>
        <w:tabs>
          <w:tab w:val="left" w:pos="0"/>
        </w:tabs>
        <w:ind w:left="0" w:firstLine="0"/>
      </w:pPr>
      <w:rPr>
        <w:rFonts w:hint="eastAsia" w:ascii="宋体" w:hAnsi="宋体"/>
        <w:sz w:val="30"/>
      </w:rPr>
    </w:lvl>
    <w:lvl w:ilvl="3" w:tentative="0">
      <w:start w:val="1"/>
      <w:numFmt w:val="decimal"/>
      <w:isLgl/>
      <w:suff w:val="space"/>
      <w:lvlText w:val="%1.%2.%3.%4."/>
      <w:lvlJc w:val="left"/>
      <w:pPr>
        <w:tabs>
          <w:tab w:val="left" w:pos="0"/>
        </w:tabs>
        <w:ind w:left="0" w:firstLine="0"/>
      </w:pPr>
      <w:rPr>
        <w:rFonts w:hint="eastAsia" w:ascii="宋体" w:hAnsi="宋体"/>
        <w:sz w:val="28"/>
      </w:rPr>
    </w:lvl>
    <w:lvl w:ilvl="4" w:tentative="0">
      <w:start w:val="1"/>
      <w:numFmt w:val="decimal"/>
      <w:isLgl/>
      <w:suff w:val="space"/>
      <w:lvlText w:val="%1.%2.%3.%4.%5."/>
      <w:lvlJc w:val="left"/>
      <w:pPr>
        <w:tabs>
          <w:tab w:val="left" w:pos="0"/>
        </w:tabs>
        <w:ind w:left="0" w:firstLine="0"/>
      </w:pPr>
      <w:rPr>
        <w:rFonts w:hint="eastAsia" w:ascii="宋体" w:hAnsi="宋体"/>
        <w:sz w:val="24"/>
      </w:rPr>
    </w:lvl>
    <w:lvl w:ilvl="5" w:tentative="0">
      <w:start w:val="1"/>
      <w:numFmt w:val="decimal"/>
      <w:isLgl/>
      <w:suff w:val="space"/>
      <w:lvlText w:val="%1.%2.%3.%4.%5.%6."/>
      <w:lvlJc w:val="left"/>
      <w:pPr>
        <w:tabs>
          <w:tab w:val="left" w:pos="0"/>
        </w:tabs>
        <w:ind w:left="0" w:firstLine="0"/>
      </w:pPr>
      <w:rPr>
        <w:rFonts w:hint="eastAsia" w:ascii="宋体" w:hAnsi="宋体"/>
        <w:sz w:val="24"/>
      </w:rPr>
    </w:lvl>
    <w:lvl w:ilvl="6" w:tentative="0">
      <w:start w:val="1"/>
      <w:numFmt w:val="decimal"/>
      <w:pStyle w:val="12"/>
      <w:isLgl/>
      <w:suff w:val="space"/>
      <w:lvlText w:val="%1.%2.%3.%4.%5.%6.%7."/>
      <w:lvlJc w:val="left"/>
      <w:pPr>
        <w:tabs>
          <w:tab w:val="left" w:pos="0"/>
        </w:tabs>
        <w:ind w:left="0" w:firstLine="0"/>
      </w:pPr>
      <w:rPr>
        <w:rFonts w:hint="eastAsia" w:ascii="宋体" w:hAnsi="宋体"/>
        <w:sz w:val="24"/>
      </w:rPr>
    </w:lvl>
    <w:lvl w:ilvl="7" w:tentative="0">
      <w:start w:val="1"/>
      <w:numFmt w:val="decimal"/>
      <w:isLgl/>
      <w:suff w:val="space"/>
      <w:lvlText w:val="%1.%2.%3.%4.%5.%6.%7.%8."/>
      <w:lvlJc w:val="left"/>
      <w:pPr>
        <w:tabs>
          <w:tab w:val="left" w:pos="420"/>
        </w:tabs>
        <w:ind w:left="0" w:firstLine="0"/>
      </w:pPr>
      <w:rPr>
        <w:rFonts w:hint="eastAsia"/>
        <w:sz w:val="24"/>
      </w:rPr>
    </w:lvl>
    <w:lvl w:ilvl="8" w:tentative="0">
      <w:start w:val="1"/>
      <w:numFmt w:val="decimal"/>
      <w:lvlText w:val="%1.%2.%3.%4.%5.%6.%7.%8.%9."/>
      <w:lvlJc w:val="left"/>
      <w:pPr>
        <w:ind w:left="4648" w:hanging="1448"/>
      </w:pPr>
      <w:rPr>
        <w:rFonts w:hint="eastAsia"/>
      </w:rPr>
    </w:lvl>
  </w:abstractNum>
  <w:abstractNum w:abstractNumId="1">
    <w:nsid w:val="3E270DCF"/>
    <w:multiLevelType w:val="multilevel"/>
    <w:tmpl w:val="3E270DCF"/>
    <w:lvl w:ilvl="0" w:tentative="0">
      <w:start w:val="1"/>
      <w:numFmt w:val="decimal"/>
      <w:pStyle w:val="3"/>
      <w:suff w:val="space"/>
      <w:lvlText w:val="%1."/>
      <w:lvlJc w:val="left"/>
      <w:pPr>
        <w:ind w:left="141" w:firstLine="0"/>
      </w:pPr>
      <w:rPr>
        <w:rFonts w:hint="default" w:ascii="微软雅黑" w:hAnsi="微软雅黑" w:eastAsia="微软雅黑"/>
      </w:rPr>
    </w:lvl>
    <w:lvl w:ilvl="1" w:tentative="0">
      <w:start w:val="1"/>
      <w:numFmt w:val="decimal"/>
      <w:pStyle w:val="4"/>
      <w:suff w:val="space"/>
      <w:lvlText w:val="%1.%2."/>
      <w:lvlJc w:val="left"/>
      <w:pPr>
        <w:ind w:left="141" w:firstLine="0"/>
      </w:pPr>
      <w:rPr>
        <w:rFonts w:hint="default" w:ascii="微软雅黑" w:hAnsi="微软雅黑" w:eastAsia="微软雅黑"/>
      </w:rPr>
    </w:lvl>
    <w:lvl w:ilvl="2" w:tentative="0">
      <w:start w:val="1"/>
      <w:numFmt w:val="decimal"/>
      <w:pStyle w:val="2"/>
      <w:suff w:val="space"/>
      <w:lvlText w:val="%1.%2.%3."/>
      <w:lvlJc w:val="left"/>
      <w:pPr>
        <w:ind w:left="141" w:firstLine="0"/>
      </w:pPr>
      <w:rPr>
        <w:rFonts w:hint="default" w:ascii="微软雅黑" w:hAnsi="微软雅黑" w:eastAsia="微软雅黑"/>
      </w:rPr>
    </w:lvl>
    <w:lvl w:ilvl="3" w:tentative="0">
      <w:start w:val="1"/>
      <w:numFmt w:val="decimal"/>
      <w:pStyle w:val="5"/>
      <w:suff w:val="space"/>
      <w:lvlText w:val="%1.%2.%3.%4."/>
      <w:lvlJc w:val="left"/>
      <w:pPr>
        <w:ind w:left="141" w:firstLine="0"/>
      </w:pPr>
      <w:rPr>
        <w:rFonts w:hint="default" w:ascii="微软雅黑" w:hAnsi="微软雅黑" w:eastAsia="微软雅黑"/>
      </w:rPr>
    </w:lvl>
    <w:lvl w:ilvl="4" w:tentative="0">
      <w:start w:val="1"/>
      <w:numFmt w:val="decimal"/>
      <w:pStyle w:val="6"/>
      <w:lvlText w:val="%1.%2.%3.%4.%5."/>
      <w:lvlJc w:val="left"/>
      <w:pPr>
        <w:tabs>
          <w:tab w:val="left" w:pos="141"/>
        </w:tabs>
        <w:ind w:left="141" w:firstLine="0"/>
      </w:pPr>
      <w:rPr>
        <w:rFonts w:hint="default" w:ascii="微软雅黑" w:hAnsi="微软雅黑" w:eastAsia="微软雅黑"/>
      </w:rPr>
    </w:lvl>
    <w:lvl w:ilvl="5" w:tentative="0">
      <w:start w:val="1"/>
      <w:numFmt w:val="decimal"/>
      <w:pStyle w:val="8"/>
      <w:suff w:val="space"/>
      <w:lvlText w:val="%1.%2.%3.%4.%5.%6."/>
      <w:lvlJc w:val="left"/>
      <w:pPr>
        <w:ind w:left="141" w:firstLine="0"/>
      </w:pPr>
      <w:rPr>
        <w:rFonts w:hint="default"/>
      </w:rPr>
    </w:lvl>
    <w:lvl w:ilvl="6" w:tentative="0">
      <w:start w:val="1"/>
      <w:numFmt w:val="decimal"/>
      <w:pStyle w:val="9"/>
      <w:lvlText w:val="%1.%2.%3.%4.%5.%6.%7."/>
      <w:lvlJc w:val="left"/>
      <w:pPr>
        <w:tabs>
          <w:tab w:val="left" w:pos="141"/>
        </w:tabs>
        <w:ind w:left="141" w:firstLine="0"/>
      </w:pPr>
      <w:rPr>
        <w:rFonts w:hint="default"/>
      </w:rPr>
    </w:lvl>
    <w:lvl w:ilvl="7" w:tentative="0">
      <w:start w:val="1"/>
      <w:numFmt w:val="decimal"/>
      <w:pStyle w:val="10"/>
      <w:suff w:val="space"/>
      <w:lvlText w:val="%1.%2.%3.%4.%5.%6.%7.%8."/>
      <w:lvlJc w:val="left"/>
      <w:pPr>
        <w:ind w:left="141" w:firstLine="0"/>
      </w:pPr>
      <w:rPr>
        <w:rFonts w:hint="default"/>
      </w:rPr>
    </w:lvl>
    <w:lvl w:ilvl="8" w:tentative="0">
      <w:start w:val="1"/>
      <w:numFmt w:val="decimal"/>
      <w:pStyle w:val="11"/>
      <w:lvlText w:val="%1.%2.%3.%4.%5.%6.%7.%8.%9."/>
      <w:lvlJc w:val="left"/>
      <w:pPr>
        <w:tabs>
          <w:tab w:val="left" w:pos="141"/>
        </w:tabs>
        <w:ind w:left="141"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E4B0A"/>
    <w:rsid w:val="000269E5"/>
    <w:rsid w:val="000306E8"/>
    <w:rsid w:val="00093422"/>
    <w:rsid w:val="00097C02"/>
    <w:rsid w:val="000A44F5"/>
    <w:rsid w:val="000A5228"/>
    <w:rsid w:val="000F0980"/>
    <w:rsid w:val="00116BC1"/>
    <w:rsid w:val="00133FA1"/>
    <w:rsid w:val="001440BD"/>
    <w:rsid w:val="001563A4"/>
    <w:rsid w:val="001833FE"/>
    <w:rsid w:val="0018396D"/>
    <w:rsid w:val="00190F41"/>
    <w:rsid w:val="001D6C07"/>
    <w:rsid w:val="001F11FA"/>
    <w:rsid w:val="00206163"/>
    <w:rsid w:val="00266959"/>
    <w:rsid w:val="002A4FFC"/>
    <w:rsid w:val="002C7CBC"/>
    <w:rsid w:val="002D35E5"/>
    <w:rsid w:val="002D3C11"/>
    <w:rsid w:val="002D4065"/>
    <w:rsid w:val="002E4927"/>
    <w:rsid w:val="002F317A"/>
    <w:rsid w:val="003132FD"/>
    <w:rsid w:val="003167C3"/>
    <w:rsid w:val="0033551C"/>
    <w:rsid w:val="00336A08"/>
    <w:rsid w:val="00364223"/>
    <w:rsid w:val="003A4DA6"/>
    <w:rsid w:val="003D04E2"/>
    <w:rsid w:val="003F7659"/>
    <w:rsid w:val="00404175"/>
    <w:rsid w:val="00415FA1"/>
    <w:rsid w:val="00430D9D"/>
    <w:rsid w:val="00466C5C"/>
    <w:rsid w:val="0047040E"/>
    <w:rsid w:val="004936A5"/>
    <w:rsid w:val="004B7D43"/>
    <w:rsid w:val="004E29EE"/>
    <w:rsid w:val="00513165"/>
    <w:rsid w:val="00513E0D"/>
    <w:rsid w:val="00530F21"/>
    <w:rsid w:val="00533B4A"/>
    <w:rsid w:val="00542E0D"/>
    <w:rsid w:val="00577A9A"/>
    <w:rsid w:val="005C56D5"/>
    <w:rsid w:val="005D448F"/>
    <w:rsid w:val="005D7379"/>
    <w:rsid w:val="00600D7B"/>
    <w:rsid w:val="00613FC3"/>
    <w:rsid w:val="006260F9"/>
    <w:rsid w:val="006335D9"/>
    <w:rsid w:val="00642836"/>
    <w:rsid w:val="006557FC"/>
    <w:rsid w:val="00676B7C"/>
    <w:rsid w:val="00697BC1"/>
    <w:rsid w:val="006A6554"/>
    <w:rsid w:val="006A6BBA"/>
    <w:rsid w:val="006B048F"/>
    <w:rsid w:val="006B240B"/>
    <w:rsid w:val="0070055B"/>
    <w:rsid w:val="00705191"/>
    <w:rsid w:val="00707C66"/>
    <w:rsid w:val="00712E65"/>
    <w:rsid w:val="007819E5"/>
    <w:rsid w:val="007A1AF3"/>
    <w:rsid w:val="007C3D3D"/>
    <w:rsid w:val="007E3542"/>
    <w:rsid w:val="007E3B9E"/>
    <w:rsid w:val="007F22F8"/>
    <w:rsid w:val="007F3A84"/>
    <w:rsid w:val="00816F4C"/>
    <w:rsid w:val="008348DE"/>
    <w:rsid w:val="00835BFA"/>
    <w:rsid w:val="008712E1"/>
    <w:rsid w:val="008801AC"/>
    <w:rsid w:val="00886A2D"/>
    <w:rsid w:val="00891495"/>
    <w:rsid w:val="008A2ED9"/>
    <w:rsid w:val="008B3508"/>
    <w:rsid w:val="008B3D28"/>
    <w:rsid w:val="0091577E"/>
    <w:rsid w:val="00935E16"/>
    <w:rsid w:val="00935F72"/>
    <w:rsid w:val="00942122"/>
    <w:rsid w:val="00946961"/>
    <w:rsid w:val="00951F59"/>
    <w:rsid w:val="00966473"/>
    <w:rsid w:val="00975706"/>
    <w:rsid w:val="00997C34"/>
    <w:rsid w:val="009E2847"/>
    <w:rsid w:val="009E58C2"/>
    <w:rsid w:val="009F4423"/>
    <w:rsid w:val="00A066DC"/>
    <w:rsid w:val="00A7467E"/>
    <w:rsid w:val="00A82FE1"/>
    <w:rsid w:val="00A86D54"/>
    <w:rsid w:val="00A931AB"/>
    <w:rsid w:val="00AA7AC9"/>
    <w:rsid w:val="00AB2F65"/>
    <w:rsid w:val="00AC2E8F"/>
    <w:rsid w:val="00AD5A1D"/>
    <w:rsid w:val="00AD790A"/>
    <w:rsid w:val="00AF45C8"/>
    <w:rsid w:val="00B12A1A"/>
    <w:rsid w:val="00B45AE4"/>
    <w:rsid w:val="00B67084"/>
    <w:rsid w:val="00B70300"/>
    <w:rsid w:val="00BC0E7F"/>
    <w:rsid w:val="00C03920"/>
    <w:rsid w:val="00C0475F"/>
    <w:rsid w:val="00C22EE5"/>
    <w:rsid w:val="00C31000"/>
    <w:rsid w:val="00C80570"/>
    <w:rsid w:val="00C92725"/>
    <w:rsid w:val="00C942A9"/>
    <w:rsid w:val="00CC4844"/>
    <w:rsid w:val="00CC509D"/>
    <w:rsid w:val="00CE0B80"/>
    <w:rsid w:val="00CF03AF"/>
    <w:rsid w:val="00CF5B9E"/>
    <w:rsid w:val="00CF6814"/>
    <w:rsid w:val="00D01CF4"/>
    <w:rsid w:val="00D110D9"/>
    <w:rsid w:val="00D41EFD"/>
    <w:rsid w:val="00D47EF0"/>
    <w:rsid w:val="00D63145"/>
    <w:rsid w:val="00D704E4"/>
    <w:rsid w:val="00D953B0"/>
    <w:rsid w:val="00DC65FD"/>
    <w:rsid w:val="00DE1BF8"/>
    <w:rsid w:val="00DF0601"/>
    <w:rsid w:val="00DF7A2F"/>
    <w:rsid w:val="00E0222A"/>
    <w:rsid w:val="00E76B32"/>
    <w:rsid w:val="00E76B72"/>
    <w:rsid w:val="00EA3F95"/>
    <w:rsid w:val="00EC425A"/>
    <w:rsid w:val="00ED25D9"/>
    <w:rsid w:val="00EE14B3"/>
    <w:rsid w:val="00EF34A2"/>
    <w:rsid w:val="00EF6EE6"/>
    <w:rsid w:val="00F07E97"/>
    <w:rsid w:val="00F12D29"/>
    <w:rsid w:val="00F236DC"/>
    <w:rsid w:val="00F26512"/>
    <w:rsid w:val="00F26C9B"/>
    <w:rsid w:val="00F34B61"/>
    <w:rsid w:val="00F356E0"/>
    <w:rsid w:val="00F442EC"/>
    <w:rsid w:val="00FB5564"/>
    <w:rsid w:val="04AB503E"/>
    <w:rsid w:val="05B22C09"/>
    <w:rsid w:val="06542FF2"/>
    <w:rsid w:val="06872C55"/>
    <w:rsid w:val="0A073F5D"/>
    <w:rsid w:val="0D215A98"/>
    <w:rsid w:val="0E6F10BC"/>
    <w:rsid w:val="0E933A4E"/>
    <w:rsid w:val="0FD006A6"/>
    <w:rsid w:val="10375DC2"/>
    <w:rsid w:val="178D47C2"/>
    <w:rsid w:val="183F19F1"/>
    <w:rsid w:val="18AF4E5E"/>
    <w:rsid w:val="19067AD5"/>
    <w:rsid w:val="195065BB"/>
    <w:rsid w:val="1B1453A9"/>
    <w:rsid w:val="1B562D46"/>
    <w:rsid w:val="1B5E5736"/>
    <w:rsid w:val="1D9F5B99"/>
    <w:rsid w:val="1E8F542F"/>
    <w:rsid w:val="1F13603C"/>
    <w:rsid w:val="1F672DAF"/>
    <w:rsid w:val="1F75420D"/>
    <w:rsid w:val="21A91911"/>
    <w:rsid w:val="21F74139"/>
    <w:rsid w:val="23924B55"/>
    <w:rsid w:val="250476FB"/>
    <w:rsid w:val="25B328ED"/>
    <w:rsid w:val="26E153B5"/>
    <w:rsid w:val="27051722"/>
    <w:rsid w:val="2AAA6513"/>
    <w:rsid w:val="2B3F1D11"/>
    <w:rsid w:val="2B463DFB"/>
    <w:rsid w:val="2B6F711C"/>
    <w:rsid w:val="2B812582"/>
    <w:rsid w:val="2BAC0068"/>
    <w:rsid w:val="2DB1325B"/>
    <w:rsid w:val="307A6791"/>
    <w:rsid w:val="32C03B8D"/>
    <w:rsid w:val="34876691"/>
    <w:rsid w:val="354959D3"/>
    <w:rsid w:val="358E337C"/>
    <w:rsid w:val="36D729BC"/>
    <w:rsid w:val="39E8110F"/>
    <w:rsid w:val="3A415332"/>
    <w:rsid w:val="3ABF588F"/>
    <w:rsid w:val="3B9C43F7"/>
    <w:rsid w:val="3C8C0980"/>
    <w:rsid w:val="3D7452B7"/>
    <w:rsid w:val="3D8C4692"/>
    <w:rsid w:val="3DD57B16"/>
    <w:rsid w:val="400242A3"/>
    <w:rsid w:val="41071F7E"/>
    <w:rsid w:val="434A6B86"/>
    <w:rsid w:val="44793140"/>
    <w:rsid w:val="453950E7"/>
    <w:rsid w:val="46793B3B"/>
    <w:rsid w:val="468A6DA0"/>
    <w:rsid w:val="46924ED5"/>
    <w:rsid w:val="48354199"/>
    <w:rsid w:val="4B191908"/>
    <w:rsid w:val="4C96179F"/>
    <w:rsid w:val="4D7A63F1"/>
    <w:rsid w:val="4E236172"/>
    <w:rsid w:val="4E7445BE"/>
    <w:rsid w:val="4E8555A0"/>
    <w:rsid w:val="529B781D"/>
    <w:rsid w:val="52A5508A"/>
    <w:rsid w:val="54864E2A"/>
    <w:rsid w:val="5651115B"/>
    <w:rsid w:val="57A627AE"/>
    <w:rsid w:val="5B525081"/>
    <w:rsid w:val="5F2E0AC7"/>
    <w:rsid w:val="60917CE8"/>
    <w:rsid w:val="63885B37"/>
    <w:rsid w:val="65F056C5"/>
    <w:rsid w:val="67255CF7"/>
    <w:rsid w:val="67A072CB"/>
    <w:rsid w:val="68605065"/>
    <w:rsid w:val="68842DC6"/>
    <w:rsid w:val="68C652EE"/>
    <w:rsid w:val="691A565F"/>
    <w:rsid w:val="6C537674"/>
    <w:rsid w:val="6D6F3987"/>
    <w:rsid w:val="6F7C445B"/>
    <w:rsid w:val="6FDA0DCA"/>
    <w:rsid w:val="71955D33"/>
    <w:rsid w:val="72DF3E4C"/>
    <w:rsid w:val="741C2F49"/>
    <w:rsid w:val="74206678"/>
    <w:rsid w:val="746E4B0A"/>
    <w:rsid w:val="75DA14E0"/>
    <w:rsid w:val="767C15DC"/>
    <w:rsid w:val="77643370"/>
    <w:rsid w:val="797262BB"/>
    <w:rsid w:val="7D80582B"/>
    <w:rsid w:val="7E20746B"/>
    <w:rsid w:val="7E556386"/>
    <w:rsid w:val="7EFB2243"/>
    <w:rsid w:val="7FE3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20" w:afterLines="20" w:line="288" w:lineRule="auto"/>
      <w:jc w:val="both"/>
    </w:pPr>
    <w:rPr>
      <w:rFonts w:eastAsia="微软雅黑" w:asciiTheme="minorHAnsi" w:hAnsiTheme="minorHAnsi" w:cstheme="minorBidi"/>
      <w:kern w:val="2"/>
      <w:sz w:val="21"/>
      <w:szCs w:val="24"/>
      <w:lang w:val="en-US" w:eastAsia="zh-CN" w:bidi="ar-SA"/>
    </w:rPr>
  </w:style>
  <w:style w:type="paragraph" w:styleId="3">
    <w:name w:val="heading 1"/>
    <w:next w:val="1"/>
    <w:link w:val="41"/>
    <w:qFormat/>
    <w:uiPriority w:val="9"/>
    <w:pPr>
      <w:keepNext/>
      <w:keepLines/>
      <w:numPr>
        <w:ilvl w:val="0"/>
        <w:numId w:val="1"/>
      </w:numPr>
      <w:tabs>
        <w:tab w:val="left" w:pos="0"/>
      </w:tabs>
      <w:adjustRightInd w:val="0"/>
      <w:snapToGrid w:val="0"/>
      <w:spacing w:before="50" w:beforeLines="50" w:after="20" w:afterLines="20" w:line="288" w:lineRule="auto"/>
      <w:outlineLvl w:val="0"/>
    </w:pPr>
    <w:rPr>
      <w:rFonts w:ascii="宋体" w:hAnsi="宋体" w:eastAsia="宋体" w:cs="宋体"/>
      <w:b/>
      <w:bCs/>
      <w:snapToGrid w:val="0"/>
      <w:color w:val="000000"/>
      <w:kern w:val="44"/>
      <w:sz w:val="36"/>
      <w:szCs w:val="24"/>
      <w:lang w:val="en-US" w:eastAsia="en-US" w:bidi="ar-SA"/>
    </w:rPr>
  </w:style>
  <w:style w:type="paragraph" w:styleId="4">
    <w:name w:val="heading 2"/>
    <w:next w:val="1"/>
    <w:link w:val="39"/>
    <w:unhideWhenUsed/>
    <w:qFormat/>
    <w:uiPriority w:val="9"/>
    <w:pPr>
      <w:numPr>
        <w:ilvl w:val="1"/>
        <w:numId w:val="1"/>
      </w:numPr>
      <w:tabs>
        <w:tab w:val="left" w:pos="0"/>
      </w:tabs>
      <w:adjustRightInd w:val="0"/>
      <w:snapToGrid w:val="0"/>
      <w:spacing w:before="50" w:beforeLines="50" w:after="20" w:afterLines="20" w:line="288" w:lineRule="auto"/>
      <w:ind w:left="0"/>
      <w:outlineLvl w:val="1"/>
    </w:pPr>
    <w:rPr>
      <w:rFonts w:hint="eastAsia" w:ascii="宋体" w:hAnsi="宋体" w:eastAsia="宋体" w:cs="宋体"/>
      <w:b/>
      <w:snapToGrid w:val="0"/>
      <w:color w:val="000000"/>
      <w:sz w:val="32"/>
      <w:szCs w:val="32"/>
      <w:lang w:val="en-US" w:eastAsia="en-US" w:bidi="ar-SA"/>
    </w:rPr>
  </w:style>
  <w:style w:type="paragraph" w:styleId="2">
    <w:name w:val="heading 3"/>
    <w:basedOn w:val="1"/>
    <w:next w:val="1"/>
    <w:unhideWhenUsed/>
    <w:qFormat/>
    <w:uiPriority w:val="9"/>
    <w:pPr>
      <w:numPr>
        <w:ilvl w:val="2"/>
        <w:numId w:val="1"/>
      </w:numPr>
      <w:tabs>
        <w:tab w:val="left" w:pos="0"/>
        <w:tab w:val="left" w:pos="312"/>
      </w:tabs>
      <w:adjustRightInd w:val="0"/>
      <w:snapToGrid w:val="0"/>
      <w:spacing w:before="50" w:beforeLines="50" w:after="20" w:afterLines="20" w:line="288" w:lineRule="auto"/>
      <w:ind w:left="0"/>
      <w:outlineLvl w:val="2"/>
    </w:pPr>
    <w:rPr>
      <w:rFonts w:ascii="微软雅黑" w:hAnsi="微软雅黑" w:eastAsia="微软雅黑" w:cstheme="minorBidi"/>
      <w:b/>
      <w:kern w:val="2"/>
      <w:sz w:val="30"/>
      <w:szCs w:val="30"/>
      <w:lang w:val="en-US" w:eastAsia="zh-CN" w:bidi="ar-SA"/>
    </w:rPr>
  </w:style>
  <w:style w:type="paragraph" w:styleId="5">
    <w:name w:val="heading 4"/>
    <w:next w:val="1"/>
    <w:link w:val="42"/>
    <w:unhideWhenUsed/>
    <w:qFormat/>
    <w:uiPriority w:val="9"/>
    <w:pPr>
      <w:numPr>
        <w:ilvl w:val="3"/>
        <w:numId w:val="1"/>
      </w:numPr>
      <w:tabs>
        <w:tab w:val="left" w:pos="0"/>
      </w:tabs>
      <w:adjustRightInd w:val="0"/>
      <w:snapToGrid w:val="0"/>
      <w:spacing w:before="50" w:beforeLines="50" w:after="20" w:afterLines="20" w:line="288" w:lineRule="auto"/>
      <w:ind w:left="0"/>
      <w:outlineLvl w:val="3"/>
    </w:pPr>
    <w:rPr>
      <w:rFonts w:ascii="宋体" w:hAnsi="宋体" w:eastAsia="宋体" w:cs="宋体"/>
      <w:b/>
      <w:snapToGrid w:val="0"/>
      <w:color w:val="000000"/>
      <w:sz w:val="28"/>
      <w:szCs w:val="22"/>
      <w:lang w:val="en-US" w:eastAsia="en-US" w:bidi="ar-SA"/>
    </w:rPr>
  </w:style>
  <w:style w:type="paragraph" w:styleId="6">
    <w:name w:val="heading 5"/>
    <w:basedOn w:val="1"/>
    <w:next w:val="7"/>
    <w:link w:val="43"/>
    <w:unhideWhenUsed/>
    <w:qFormat/>
    <w:uiPriority w:val="9"/>
    <w:pPr>
      <w:numPr>
        <w:ilvl w:val="4"/>
        <w:numId w:val="1"/>
      </w:numPr>
      <w:tabs>
        <w:tab w:val="left" w:pos="312"/>
      </w:tabs>
      <w:spacing w:before="50" w:beforeLines="50"/>
      <w:ind w:left="0"/>
      <w:jc w:val="left"/>
      <w:outlineLvl w:val="4"/>
    </w:pPr>
    <w:rPr>
      <w:rFonts w:hint="eastAsia" w:ascii="宋体" w:hAnsi="宋体" w:eastAsia="宋体" w:cs="宋体"/>
      <w:b/>
      <w:bCs/>
      <w:snapToGrid w:val="0"/>
      <w:color w:val="000000"/>
      <w:kern w:val="0"/>
      <w:lang w:val="ru-RU" w:eastAsia="en-US"/>
    </w:rPr>
  </w:style>
  <w:style w:type="paragraph" w:styleId="8">
    <w:name w:val="heading 6"/>
    <w:basedOn w:val="1"/>
    <w:next w:val="7"/>
    <w:unhideWhenUsed/>
    <w:qFormat/>
    <w:uiPriority w:val="0"/>
    <w:pPr>
      <w:numPr>
        <w:ilvl w:val="5"/>
        <w:numId w:val="1"/>
      </w:numPr>
      <w:tabs>
        <w:tab w:val="left" w:pos="0"/>
      </w:tabs>
      <w:spacing w:before="50" w:beforeLines="50"/>
      <w:ind w:left="0"/>
      <w:outlineLvl w:val="5"/>
    </w:pPr>
    <w:rPr>
      <w:rFonts w:ascii="微软雅黑" w:hAnsi="微软雅黑"/>
      <w:b/>
      <w:bCs/>
      <w:sz w:val="24"/>
    </w:rPr>
  </w:style>
  <w:style w:type="paragraph" w:styleId="9">
    <w:name w:val="heading 7"/>
    <w:basedOn w:val="1"/>
    <w:next w:val="7"/>
    <w:unhideWhenUsed/>
    <w:qFormat/>
    <w:uiPriority w:val="0"/>
    <w:pPr>
      <w:numPr>
        <w:ilvl w:val="6"/>
        <w:numId w:val="1"/>
      </w:numPr>
      <w:spacing w:before="50" w:beforeLines="50"/>
      <w:ind w:left="0"/>
      <w:jc w:val="left"/>
      <w:outlineLvl w:val="6"/>
    </w:pPr>
    <w:rPr>
      <w:rFonts w:ascii="微软雅黑" w:hAnsi="微软雅黑"/>
      <w:b/>
      <w:bCs/>
      <w:sz w:val="24"/>
    </w:rPr>
  </w:style>
  <w:style w:type="paragraph" w:styleId="10">
    <w:name w:val="heading 8"/>
    <w:basedOn w:val="1"/>
    <w:next w:val="7"/>
    <w:unhideWhenUsed/>
    <w:qFormat/>
    <w:uiPriority w:val="0"/>
    <w:pPr>
      <w:numPr>
        <w:ilvl w:val="7"/>
        <w:numId w:val="1"/>
      </w:numPr>
      <w:tabs>
        <w:tab w:val="left" w:pos="0"/>
      </w:tabs>
      <w:spacing w:before="50" w:beforeLines="50"/>
      <w:ind w:left="0"/>
      <w:outlineLvl w:val="7"/>
    </w:pPr>
    <w:rPr>
      <w:rFonts w:ascii="微软雅黑" w:hAnsi="微软雅黑" w:cstheme="majorBidi"/>
      <w:b/>
      <w:bCs/>
      <w:sz w:val="24"/>
    </w:rPr>
  </w:style>
  <w:style w:type="paragraph" w:styleId="11">
    <w:name w:val="heading 9"/>
    <w:basedOn w:val="1"/>
    <w:next w:val="7"/>
    <w:unhideWhenUsed/>
    <w:qFormat/>
    <w:uiPriority w:val="0"/>
    <w:pPr>
      <w:numPr>
        <w:ilvl w:val="8"/>
        <w:numId w:val="1"/>
      </w:numPr>
      <w:spacing w:before="50" w:beforeLines="50"/>
      <w:ind w:left="0"/>
      <w:outlineLvl w:val="8"/>
    </w:pPr>
    <w:rPr>
      <w:rFonts w:ascii="微软雅黑" w:hAnsi="微软雅黑" w:cstheme="majorBidi"/>
      <w:b/>
      <w:bCs/>
      <w:sz w:val="24"/>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0"/>
    <w:rPr>
      <w:rFonts w:ascii="微软雅黑" w:hAnsi="微软雅黑"/>
      <w:szCs w:val="21"/>
    </w:rPr>
  </w:style>
  <w:style w:type="paragraph" w:styleId="12">
    <w:name w:val="toc 7"/>
    <w:basedOn w:val="1"/>
    <w:next w:val="1"/>
    <w:qFormat/>
    <w:uiPriority w:val="0"/>
    <w:pPr>
      <w:numPr>
        <w:ilvl w:val="6"/>
        <w:numId w:val="2"/>
      </w:numPr>
      <w:tabs>
        <w:tab w:val="left" w:pos="420"/>
      </w:tabs>
    </w:pPr>
  </w:style>
  <w:style w:type="paragraph" w:styleId="13">
    <w:name w:val="caption"/>
    <w:basedOn w:val="1"/>
    <w:next w:val="1"/>
    <w:unhideWhenUsed/>
    <w:qFormat/>
    <w:uiPriority w:val="0"/>
    <w:rPr>
      <w:rFonts w:ascii="微软雅黑" w:hAnsi="微软雅黑" w:cs="Times New Roman"/>
      <w:sz w:val="20"/>
      <w:szCs w:val="20"/>
    </w:rPr>
  </w:style>
  <w:style w:type="paragraph" w:styleId="14">
    <w:name w:val="annotation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5">
    <w:name w:val="Salutation"/>
    <w:basedOn w:val="1"/>
    <w:next w:val="1"/>
    <w:qFormat/>
    <w:uiPriority w:val="0"/>
    <w:rPr>
      <w:rFonts w:ascii="微软雅黑" w:hAnsi="微软雅黑"/>
      <w:szCs w:val="21"/>
    </w:rPr>
  </w:style>
  <w:style w:type="paragraph" w:styleId="16">
    <w:name w:val="Plain Text"/>
    <w:basedOn w:val="1"/>
    <w:link w:val="47"/>
    <w:qFormat/>
    <w:uiPriority w:val="0"/>
    <w:rPr>
      <w:rFonts w:ascii="宋体" w:hAnsi="Courier New"/>
    </w:rPr>
  </w:style>
  <w:style w:type="paragraph" w:styleId="17">
    <w:name w:val="Date"/>
    <w:basedOn w:val="1"/>
    <w:next w:val="1"/>
    <w:qFormat/>
    <w:uiPriority w:val="0"/>
    <w:pPr>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8">
    <w:name w:val="endnote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9">
    <w:name w:val="Balloon Text"/>
    <w:basedOn w:val="1"/>
    <w:qFormat/>
    <w:uiPriority w:val="0"/>
    <w:rPr>
      <w:rFonts w:ascii="微软雅黑" w:hAnsi="微软雅黑"/>
      <w:sz w:val="18"/>
      <w:szCs w:val="18"/>
    </w:rPr>
  </w:style>
  <w:style w:type="paragraph" w:styleId="20">
    <w:name w:val="footer"/>
    <w:basedOn w:val="1"/>
    <w:qFormat/>
    <w:uiPriority w:val="0"/>
    <w:pPr>
      <w:tabs>
        <w:tab w:val="center" w:pos="4153"/>
        <w:tab w:val="right" w:pos="8306"/>
      </w:tabs>
      <w:jc w:val="left"/>
    </w:pPr>
    <w:rPr>
      <w:rFonts w:ascii="微软雅黑" w:hAnsi="微软雅黑"/>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rFonts w:ascii="微软雅黑" w:hAnsi="微软雅黑"/>
      <w:sz w:val="18"/>
      <w:szCs w:val="18"/>
    </w:rPr>
  </w:style>
  <w:style w:type="paragraph" w:styleId="22">
    <w:name w:val="Signature"/>
    <w:basedOn w:val="1"/>
    <w:qFormat/>
    <w:uiPriority w:val="0"/>
    <w:pPr>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23">
    <w:name w:val="Subtitle"/>
    <w:basedOn w:val="1"/>
    <w:next w:val="7"/>
    <w:qFormat/>
    <w:uiPriority w:val="0"/>
    <w:pPr>
      <w:spacing w:after="100" w:afterLines="100" w:line="240" w:lineRule="auto"/>
      <w:jc w:val="center"/>
    </w:pPr>
    <w:rPr>
      <w:rFonts w:ascii="微软雅黑" w:hAnsi="微软雅黑"/>
      <w:b/>
      <w:bCs/>
      <w:kern w:val="28"/>
      <w:sz w:val="36"/>
      <w:szCs w:val="36"/>
    </w:rPr>
  </w:style>
  <w:style w:type="paragraph" w:styleId="24">
    <w:name w:val="List"/>
    <w:basedOn w:val="1"/>
    <w:qFormat/>
    <w:uiPriority w:val="99"/>
    <w:pPr>
      <w:ind w:left="420" w:hanging="420"/>
    </w:pPr>
    <w:rPr>
      <w:rFonts w:ascii="Arial" w:hAnsi="Arial" w:eastAsia="楷体_GB2312"/>
      <w:kern w:val="2"/>
      <w:sz w:val="28"/>
    </w:rPr>
  </w:style>
  <w:style w:type="paragraph" w:styleId="25">
    <w:name w:val="footnote text"/>
    <w:basedOn w:val="1"/>
    <w:qFormat/>
    <w:uiPriority w:val="0"/>
    <w:pPr>
      <w:jc w:val="left"/>
    </w:pPr>
    <w:rPr>
      <w:rFonts w:ascii="微软雅黑" w:hAnsi="微软雅黑"/>
      <w:sz w:val="24"/>
    </w:rPr>
  </w:style>
  <w:style w:type="paragraph" w:styleId="26">
    <w:name w:val="Normal (Web)"/>
    <w:basedOn w:val="1"/>
    <w:qFormat/>
    <w:uiPriority w:val="0"/>
    <w:rPr>
      <w:rFonts w:ascii="微软雅黑" w:hAnsi="微软雅黑"/>
      <w:sz w:val="24"/>
    </w:rPr>
  </w:style>
  <w:style w:type="paragraph" w:styleId="27">
    <w:name w:val="Title"/>
    <w:basedOn w:val="1"/>
    <w:qFormat/>
    <w:uiPriority w:val="10"/>
    <w:pPr>
      <w:spacing w:after="100" w:afterLines="100"/>
      <w:jc w:val="center"/>
    </w:pPr>
    <w:rPr>
      <w:rFonts w:ascii="微软雅黑" w:hAnsi="微软雅黑"/>
      <w:b/>
      <w:bCs/>
      <w:sz w:val="48"/>
      <w:szCs w:val="48"/>
    </w:rPr>
  </w:style>
  <w:style w:type="paragraph" w:styleId="28">
    <w:name w:val="annotation subject"/>
    <w:basedOn w:val="14"/>
    <w:next w:val="14"/>
    <w:qFormat/>
    <w:uiPriority w:val="0"/>
    <w:rPr>
      <w:b/>
      <w:bCs/>
    </w:rPr>
  </w:style>
  <w:style w:type="character" w:styleId="31">
    <w:name w:val="Strong"/>
    <w:basedOn w:val="30"/>
    <w:qFormat/>
    <w:uiPriority w:val="22"/>
    <w:rPr>
      <w:rFonts w:ascii="微软雅黑" w:hAnsi="微软雅黑" w:eastAsia="微软雅黑"/>
      <w:b/>
      <w:color w:val="auto"/>
      <w:u w:val="single"/>
    </w:rPr>
  </w:style>
  <w:style w:type="character" w:styleId="32">
    <w:name w:val="endnote reference"/>
    <w:basedOn w:val="30"/>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styleId="33">
    <w:name w:val="page number"/>
    <w:qFormat/>
    <w:uiPriority w:val="0"/>
    <w:rPr>
      <w:rFonts w:ascii="微软雅黑" w:hAnsi="微软雅黑" w:eastAsia="微软雅黑" w:cs="Times New Roman"/>
      <w:color w:val="262626" w:themeColor="text1" w:themeTint="D9"/>
      <w:spacing w:val="-6"/>
      <w:kern w:val="2"/>
      <w:sz w:val="21"/>
      <w:szCs w:val="21"/>
      <w:lang w:val="en-US" w:eastAsia="zh-CN" w:bidi="ar-SA"/>
      <w14:textFill>
        <w14:solidFill>
          <w14:schemeClr w14:val="tx1">
            <w14:lumMod w14:val="85000"/>
            <w14:lumOff w14:val="15000"/>
          </w14:schemeClr>
        </w14:solidFill>
      </w14:textFill>
    </w:rPr>
  </w:style>
  <w:style w:type="character" w:styleId="34">
    <w:name w:val="FollowedHyperlink"/>
    <w:basedOn w:val="30"/>
    <w:qFormat/>
    <w:uiPriority w:val="0"/>
    <w:rPr>
      <w:rFonts w:ascii="微软雅黑" w:hAnsi="微软雅黑" w:eastAsia="微软雅黑" w:cs="Times New Roman"/>
      <w:color w:val="800080"/>
      <w:spacing w:val="-6"/>
      <w:kern w:val="2"/>
      <w:sz w:val="24"/>
      <w:szCs w:val="24"/>
      <w:u w:val="single"/>
      <w:lang w:val="en-US" w:eastAsia="zh-CN" w:bidi="ar-SA"/>
    </w:rPr>
  </w:style>
  <w:style w:type="character" w:styleId="35">
    <w:name w:val="Emphasis"/>
    <w:basedOn w:val="30"/>
    <w:qFormat/>
    <w:uiPriority w:val="20"/>
    <w:rPr>
      <w:rFonts w:ascii="Arial" w:hAnsi="Arial" w:eastAsia="微软雅黑"/>
      <w:b/>
      <w:bCs/>
      <w:i/>
      <w:color w:val="auto"/>
      <w:sz w:val="24"/>
      <w:szCs w:val="22"/>
    </w:rPr>
  </w:style>
  <w:style w:type="character" w:styleId="36">
    <w:name w:val="Hyperlink"/>
    <w:basedOn w:val="30"/>
    <w:qFormat/>
    <w:uiPriority w:val="0"/>
    <w:rPr>
      <w:rFonts w:ascii="微软雅黑" w:hAnsi="微软雅黑" w:eastAsia="微软雅黑" w:cs="Times New Roman"/>
      <w:caps/>
      <w:color w:val="0000FF"/>
      <w:spacing w:val="-6"/>
      <w:kern w:val="2"/>
      <w:sz w:val="24"/>
      <w:szCs w:val="24"/>
      <w:u w:val="single"/>
      <w:lang w:val="en-US" w:eastAsia="zh-CN" w:bidi="ar-SA"/>
    </w:rPr>
  </w:style>
  <w:style w:type="character" w:styleId="37">
    <w:name w:val="annotation reference"/>
    <w:basedOn w:val="30"/>
    <w:qFormat/>
    <w:uiPriority w:val="0"/>
    <w:rPr>
      <w:rFonts w:ascii="微软雅黑" w:hAnsi="微软雅黑" w:eastAsia="微软雅黑"/>
      <w:color w:val="262626" w:themeColor="text1" w:themeTint="D9"/>
      <w:sz w:val="21"/>
      <w:szCs w:val="21"/>
      <w14:textFill>
        <w14:solidFill>
          <w14:schemeClr w14:val="tx1">
            <w14:lumMod w14:val="85000"/>
            <w14:lumOff w14:val="15000"/>
          </w14:schemeClr>
        </w14:solidFill>
      </w14:textFill>
    </w:rPr>
  </w:style>
  <w:style w:type="character" w:styleId="38">
    <w:name w:val="footnote reference"/>
    <w:basedOn w:val="30"/>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customStyle="1" w:styleId="39">
    <w:name w:val="标题 2 字符"/>
    <w:link w:val="4"/>
    <w:autoRedefine/>
    <w:qFormat/>
    <w:uiPriority w:val="0"/>
    <w:rPr>
      <w:rFonts w:hint="eastAsia" w:ascii="宋体" w:hAnsi="宋体" w:eastAsia="宋体" w:cs="宋体"/>
      <w:b/>
      <w:snapToGrid w:val="0"/>
      <w:color w:val="000000"/>
      <w:kern w:val="0"/>
      <w:sz w:val="32"/>
      <w:szCs w:val="32"/>
      <w:lang w:eastAsia="en-US"/>
    </w:rPr>
  </w:style>
  <w:style w:type="paragraph" w:customStyle="1" w:styleId="40">
    <w:name w:val="样式1"/>
    <w:basedOn w:val="1"/>
    <w:next w:val="1"/>
    <w:qFormat/>
    <w:uiPriority w:val="0"/>
    <w:pPr>
      <w:keepNext/>
      <w:keepLines/>
      <w:tabs>
        <w:tab w:val="left" w:pos="420"/>
      </w:tabs>
      <w:spacing w:before="340" w:after="330" w:afterLines="0" w:line="576" w:lineRule="auto"/>
      <w:jc w:val="center"/>
      <w:outlineLvl w:val="0"/>
    </w:pPr>
    <w:rPr>
      <w:rFonts w:hint="eastAsia" w:ascii="Calibri" w:hAnsi="Calibri" w:cs="Times New Roman"/>
      <w:b/>
      <w:kern w:val="44"/>
      <w:sz w:val="36"/>
    </w:rPr>
  </w:style>
  <w:style w:type="character" w:customStyle="1" w:styleId="41">
    <w:name w:val="标题 1 字符"/>
    <w:link w:val="3"/>
    <w:autoRedefine/>
    <w:qFormat/>
    <w:uiPriority w:val="9"/>
    <w:rPr>
      <w:rFonts w:ascii="宋体" w:hAnsi="宋体" w:eastAsia="宋体" w:cs="宋体"/>
      <w:b/>
      <w:bCs/>
      <w:snapToGrid w:val="0"/>
      <w:color w:val="000000"/>
      <w:kern w:val="44"/>
      <w:sz w:val="36"/>
      <w:szCs w:val="24"/>
      <w:lang w:eastAsia="en-US"/>
    </w:rPr>
  </w:style>
  <w:style w:type="character" w:customStyle="1" w:styleId="42">
    <w:name w:val="标题 4 字符"/>
    <w:link w:val="5"/>
    <w:autoRedefine/>
    <w:qFormat/>
    <w:uiPriority w:val="99"/>
    <w:rPr>
      <w:rFonts w:hint="default" w:ascii="宋体" w:hAnsi="宋体" w:eastAsia="宋体" w:cs="宋体"/>
      <w:b/>
      <w:snapToGrid w:val="0"/>
      <w:color w:val="000000"/>
      <w:kern w:val="0"/>
      <w:sz w:val="28"/>
      <w:szCs w:val="22"/>
      <w:lang w:eastAsia="en-US"/>
    </w:rPr>
  </w:style>
  <w:style w:type="character" w:customStyle="1" w:styleId="43">
    <w:name w:val="标题 5 字符"/>
    <w:basedOn w:val="30"/>
    <w:link w:val="6"/>
    <w:autoRedefine/>
    <w:qFormat/>
    <w:uiPriority w:val="9"/>
    <w:rPr>
      <w:rFonts w:hint="eastAsia" w:ascii="宋体" w:hAnsi="宋体" w:eastAsia="宋体" w:cs="宋体"/>
      <w:b/>
      <w:bCs/>
      <w:snapToGrid w:val="0"/>
      <w:color w:val="000000"/>
      <w:kern w:val="0"/>
      <w:sz w:val="21"/>
      <w:szCs w:val="24"/>
      <w:lang w:val="ru-RU" w:eastAsia="en-US"/>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styleId="45">
    <w:name w:val="List Paragraph"/>
    <w:basedOn w:val="1"/>
    <w:qFormat/>
    <w:uiPriority w:val="0"/>
    <w:pPr>
      <w:spacing w:line="360" w:lineRule="auto"/>
      <w:ind w:firstLine="420" w:firstLineChars="200"/>
    </w:pPr>
    <w:rPr>
      <w:rFonts w:ascii="Calibri" w:hAnsi="Calibri"/>
    </w:rPr>
  </w:style>
  <w:style w:type="paragraph" w:customStyle="1" w:styleId="46">
    <w:name w:val="Table Text"/>
    <w:basedOn w:val="1"/>
    <w:semiHidden/>
    <w:qFormat/>
    <w:uiPriority w:val="0"/>
    <w:rPr>
      <w:rFonts w:ascii="宋体" w:hAnsi="宋体" w:eastAsia="宋体" w:cs="宋体"/>
      <w:szCs w:val="21"/>
      <w:lang w:eastAsia="en-US"/>
    </w:rPr>
  </w:style>
  <w:style w:type="character" w:customStyle="1" w:styleId="47">
    <w:name w:val="纯文本 字符"/>
    <w:link w:val="16"/>
    <w:qFormat/>
    <w:uiPriority w:val="0"/>
    <w:rPr>
      <w:rFonts w:ascii="宋体" w:hAnsi="Courier New" w:eastAsia="微软雅黑"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E83B-B0E2-40A0-8134-B286D5D2B80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1949</Words>
  <Characters>2191</Characters>
  <Lines>16</Lines>
  <Paragraphs>4</Paragraphs>
  <TotalTime>0</TotalTime>
  <ScaleCrop>false</ScaleCrop>
  <LinksUpToDate>false</LinksUpToDate>
  <CharactersWithSpaces>2223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2026-01-13T07:35:00Z</dcterms:created>
  <dc:creator>言十书</dc:creator>
  <cp:lastModifiedBy>XQL</cp:lastModifiedBy>
  <dcterms:modified xsi:type="dcterms:W3CDTF">2026-06-10T01:09:08Z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C7C861A5A6514EC189FFCFF417A29B42_13</vt:lpwstr>
  </property>
  <property fmtid="{D5CDD505-2E9C-101B-9397-08002B2CF9AE}" pid="4" name="KSOTemplateDocerSaveRecord">
    <vt:lpwstr>eyJoZGlkIjoiOTA2NjEyNGNlMzBkNTQyZjEyNTQ5MjhmMTVjNWFkNWMiLCJ1c2VySWQiOiIyMzkzNTEzNjYifQ==</vt:lpwstr>
  </property>
</Properties>
</file>